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7F8D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 xml:space="preserve">UNIVERZITNÍ CENTRUM ENERGETICKY EFEKTIVNÍCH BUDOV ČVUT V PRAZE </w:t>
      </w:r>
    </w:p>
    <w:p w14:paraId="6A101DE9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>TŘINECKÁ 1024, BUŠTĚHRAD</w:t>
      </w:r>
    </w:p>
    <w:p w14:paraId="07585DBF" w14:textId="7199B6BB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 xml:space="preserve">V BUŠTĚHRADĚ </w:t>
      </w:r>
      <w:r w:rsidR="00F36EF8">
        <w:rPr>
          <w:lang w:val="cs-CZ"/>
        </w:rPr>
        <w:t>27</w:t>
      </w:r>
      <w:r w:rsidRPr="007C683E">
        <w:rPr>
          <w:lang w:val="cs-CZ"/>
        </w:rPr>
        <w:t>. 1</w:t>
      </w:r>
      <w:r w:rsidR="00F36EF8">
        <w:rPr>
          <w:lang w:val="cs-CZ"/>
        </w:rPr>
        <w:t>1</w:t>
      </w:r>
      <w:r w:rsidRPr="007C683E">
        <w:rPr>
          <w:lang w:val="cs-CZ"/>
        </w:rPr>
        <w:t xml:space="preserve">. 2025 </w:t>
      </w:r>
    </w:p>
    <w:p w14:paraId="641123A7" w14:textId="77777777" w:rsidR="00891323" w:rsidRPr="007C683E" w:rsidRDefault="00891323" w:rsidP="00891323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0091B183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rFonts w:cs="Arial"/>
          <w:color w:val="000000" w:themeColor="text1"/>
          <w:lang w:val="cs-CZ"/>
        </w:rPr>
        <w:t>KONTAKT PRO MÉDIA | </w:t>
      </w:r>
      <w:r w:rsidRPr="007C683E">
        <w:rPr>
          <w:lang w:val="cs-CZ"/>
        </w:rPr>
        <w:t xml:space="preserve">Ing. TEREZA VALENTOVÁ </w:t>
      </w:r>
    </w:p>
    <w:p w14:paraId="526F0401" w14:textId="62119B0F" w:rsidR="00891323" w:rsidRPr="0041339E" w:rsidRDefault="00891323" w:rsidP="0041339E">
      <w:pPr>
        <w:pStyle w:val="Zahlavi"/>
        <w:spacing w:line="240" w:lineRule="auto"/>
        <w:jc w:val="both"/>
        <w:rPr>
          <w:lang w:val="cs-CZ"/>
        </w:rPr>
      </w:pPr>
      <w:hyperlink r:id="rId11" w:history="1">
        <w:r w:rsidRPr="007C683E">
          <w:rPr>
            <w:rStyle w:val="Hyperlink0"/>
            <w:lang w:val="cs-CZ"/>
          </w:rPr>
          <w:t>TEREZA.VALENTOVA.2@cvut.cz</w:t>
        </w:r>
      </w:hyperlink>
      <w:r w:rsidRPr="007C683E">
        <w:rPr>
          <w:lang w:val="cs-CZ"/>
        </w:rPr>
        <w:t>, +420</w:t>
      </w:r>
      <w:r w:rsidRPr="007C683E">
        <w:rPr>
          <w:rFonts w:ascii="Cambria" w:hAnsi="Cambria"/>
          <w:lang w:val="cs-CZ"/>
        </w:rPr>
        <w:t> </w:t>
      </w:r>
      <w:r w:rsidRPr="007C683E">
        <w:rPr>
          <w:lang w:val="cs-CZ"/>
        </w:rPr>
        <w:t>770</w:t>
      </w:r>
      <w:r w:rsidRPr="007C683E">
        <w:rPr>
          <w:rFonts w:ascii="Cambria" w:hAnsi="Cambria"/>
          <w:lang w:val="cs-CZ"/>
        </w:rPr>
        <w:t> </w:t>
      </w:r>
      <w:r w:rsidRPr="007C683E">
        <w:rPr>
          <w:lang w:val="cs-CZ"/>
        </w:rPr>
        <w:t>193</w:t>
      </w:r>
      <w:r w:rsidRPr="007C683E">
        <w:rPr>
          <w:rFonts w:ascii="Cambria" w:hAnsi="Cambria" w:cs="Cambria"/>
          <w:lang w:val="cs-CZ"/>
        </w:rPr>
        <w:t> </w:t>
      </w:r>
      <w:r w:rsidRPr="007C683E">
        <w:rPr>
          <w:lang w:val="cs-CZ"/>
        </w:rPr>
        <w:t>815</w:t>
      </w:r>
    </w:p>
    <w:p w14:paraId="07F9830B" w14:textId="77777777" w:rsidR="00891323" w:rsidRPr="00743B76" w:rsidRDefault="00891323" w:rsidP="00891323">
      <w:pPr>
        <w:spacing w:line="240" w:lineRule="auto"/>
        <w:jc w:val="both"/>
        <w:rPr>
          <w:rFonts w:cs="Arial"/>
          <w:color w:val="000000"/>
          <w:sz w:val="18"/>
        </w:rPr>
      </w:pPr>
    </w:p>
    <w:p w14:paraId="7B09C20C" w14:textId="77777777" w:rsidR="00EC0FDC" w:rsidRPr="00203BDB" w:rsidRDefault="00EC0FDC" w:rsidP="00891323">
      <w:pPr>
        <w:jc w:val="both"/>
        <w:rPr>
          <w:rFonts w:eastAsia="Times New Roman" w:cs="Arial"/>
          <w:color w:val="000000"/>
          <w:sz w:val="24"/>
          <w:lang w:eastAsia="cs-CZ" w:bidi="ar-SA"/>
        </w:rPr>
      </w:pPr>
    </w:p>
    <w:p w14:paraId="628559D2" w14:textId="32818F09" w:rsidR="00A0748A" w:rsidRDefault="00A0748A" w:rsidP="00A0748A">
      <w:pPr>
        <w:rPr>
          <w:b/>
          <w:bCs/>
          <w:sz w:val="32"/>
          <w:szCs w:val="32"/>
        </w:rPr>
      </w:pPr>
      <w:proofErr w:type="spellStart"/>
      <w:r w:rsidRPr="00614EC1">
        <w:rPr>
          <w:b/>
          <w:bCs/>
          <w:sz w:val="32"/>
          <w:szCs w:val="32"/>
        </w:rPr>
        <w:t>SBToolCZ</w:t>
      </w:r>
      <w:proofErr w:type="spellEnd"/>
      <w:r w:rsidRPr="00614EC1">
        <w:rPr>
          <w:b/>
          <w:bCs/>
          <w:sz w:val="32"/>
          <w:szCs w:val="32"/>
        </w:rPr>
        <w:t xml:space="preserve"> se stal součástí Národního programu Česká kvalita</w:t>
      </w:r>
    </w:p>
    <w:p w14:paraId="45094BE1" w14:textId="77777777" w:rsidR="00F12BD5" w:rsidRPr="00614EC1" w:rsidRDefault="00F12BD5" w:rsidP="00A0748A">
      <w:pPr>
        <w:rPr>
          <w:b/>
          <w:bCs/>
          <w:sz w:val="32"/>
          <w:szCs w:val="32"/>
        </w:rPr>
      </w:pPr>
    </w:p>
    <w:p w14:paraId="30D3CB05" w14:textId="388E9522" w:rsidR="00A0748A" w:rsidRDefault="00F12BD5" w:rsidP="00A0748A">
      <w:pPr>
        <w:rPr>
          <w:b/>
          <w:bCs/>
        </w:rPr>
      </w:pPr>
      <w:r>
        <w:rPr>
          <w:b/>
          <w:bCs/>
        </w:rPr>
        <w:t>M</w:t>
      </w:r>
      <w:r w:rsidR="00A0748A" w:rsidRPr="00614EC1">
        <w:rPr>
          <w:b/>
          <w:bCs/>
        </w:rPr>
        <w:t xml:space="preserve">etodika </w:t>
      </w:r>
      <w:proofErr w:type="spellStart"/>
      <w:r w:rsidR="00A0748A" w:rsidRPr="00614EC1">
        <w:rPr>
          <w:b/>
          <w:bCs/>
        </w:rPr>
        <w:t>SBToolCZ</w:t>
      </w:r>
      <w:proofErr w:type="spellEnd"/>
      <w:r w:rsidR="00A0748A" w:rsidRPr="00614EC1">
        <w:rPr>
          <w:b/>
          <w:bCs/>
        </w:rPr>
        <w:t xml:space="preserve">, národní český certifikační nástroj pro komplexní hodnocení kvality budov, byla oficiálně </w:t>
      </w:r>
      <w:r w:rsidR="00A0748A">
        <w:rPr>
          <w:b/>
          <w:bCs/>
        </w:rPr>
        <w:t>zařazena</w:t>
      </w:r>
      <w:r w:rsidR="00A0748A" w:rsidRPr="00614EC1">
        <w:rPr>
          <w:b/>
          <w:bCs/>
        </w:rPr>
        <w:t xml:space="preserve"> do Národního programu Česká kvalita. </w:t>
      </w:r>
      <w:r w:rsidR="00A0748A" w:rsidRPr="00A342FA">
        <w:rPr>
          <w:b/>
          <w:bCs/>
        </w:rPr>
        <w:t>Tento krok potvrzuje její odbornou úroveň a význam pro oblast moderní a udržitelné výstavby v České republice.</w:t>
      </w:r>
    </w:p>
    <w:p w14:paraId="67C62BE3" w14:textId="77777777" w:rsidR="00F12BD5" w:rsidRPr="00614EC1" w:rsidRDefault="00F12BD5" w:rsidP="00A0748A">
      <w:pPr>
        <w:rPr>
          <w:b/>
          <w:bCs/>
        </w:rPr>
      </w:pPr>
    </w:p>
    <w:p w14:paraId="482050B6" w14:textId="48FC4008" w:rsidR="00A0748A" w:rsidRDefault="00A0748A" w:rsidP="00A0748A">
      <w:r w:rsidRPr="00A342FA">
        <w:t xml:space="preserve">Národní program Česká kvalita, který od roku 2002 zastřešuje </w:t>
      </w:r>
      <w:r w:rsidR="00F36EF8">
        <w:t>V</w:t>
      </w:r>
      <w:r w:rsidRPr="00A342FA">
        <w:t>láda ČR, pomáhá spotřebitelům rozpoznat kvalitní výrobky a služby a podporuje organizace, které dlouhodobě dbají na vysoký standard svých produktů. Program představuje státem garantovaný systém značek kvality. Každý výrobek či služba, které usilují o zařazen</w:t>
      </w:r>
      <w:r w:rsidR="00F36EF8">
        <w:t>í</w:t>
      </w:r>
      <w:r>
        <w:t xml:space="preserve"> do programu</w:t>
      </w:r>
      <w:r w:rsidRPr="00A342FA">
        <w:t>, musí projít nezávislým odborným posouzením.</w:t>
      </w:r>
    </w:p>
    <w:p w14:paraId="6EE10E58" w14:textId="77777777" w:rsidR="00F12BD5" w:rsidRDefault="00F12BD5" w:rsidP="00A0748A"/>
    <w:p w14:paraId="7D9E84DD" w14:textId="108ABC66" w:rsidR="00F12BD5" w:rsidRDefault="00A0748A" w:rsidP="00A0748A">
      <w:r w:rsidRPr="00A342FA">
        <w:t xml:space="preserve">Metodika </w:t>
      </w:r>
      <w:proofErr w:type="spellStart"/>
      <w:r w:rsidRPr="00A342FA">
        <w:t>SBToolCZ</w:t>
      </w:r>
      <w:proofErr w:type="spellEnd"/>
      <w:r w:rsidRPr="00A342FA">
        <w:t xml:space="preserve"> byla uvedena do praxe v roce 2010 a na rozdíl od zahraničních certifikačních systémů je plně přizpůsobena české legislativě, klimatickým podmínkám i stavební praxi. </w:t>
      </w:r>
      <w:r>
        <w:t>Hodnotí komplexní kvalitu projektů a budov z pohledu</w:t>
      </w:r>
      <w:r w:rsidRPr="00A342FA">
        <w:t xml:space="preserve"> </w:t>
      </w:r>
      <w:r w:rsidR="00F12BD5" w:rsidRPr="00F12BD5">
        <w:t xml:space="preserve">energetické náročnosti, technického řešení, environmentálních dopadů, ekonomických nákladů i uživatelského komfortu. </w:t>
      </w:r>
      <w:r w:rsidR="00F12BD5" w:rsidRPr="00D17C33">
        <w:t xml:space="preserve">Výsledkem </w:t>
      </w:r>
      <w:r w:rsidR="00D17C33" w:rsidRPr="00D17C33">
        <w:t xml:space="preserve">hodnocení </w:t>
      </w:r>
      <w:r w:rsidR="00F12BD5" w:rsidRPr="00D17C33">
        <w:t>je certifikát, který</w:t>
      </w:r>
      <w:r w:rsidR="00D17C33" w:rsidRPr="00D17C33">
        <w:t xml:space="preserve"> má různé úrovně</w:t>
      </w:r>
      <w:r w:rsidR="00F12BD5" w:rsidRPr="00D17C33">
        <w:t xml:space="preserve"> podle dosaženého skóre. Značka Česká kv</w:t>
      </w:r>
      <w:r w:rsidR="00F12BD5" w:rsidRPr="00F12BD5">
        <w:t>alita se pojí s třemi vyššími úrovněmi, které znamenají nadstandardní kvalitu. Dosažená úroveň kvality se při certifikaci ověřuje</w:t>
      </w:r>
      <w:r w:rsidR="00882B70">
        <w:t xml:space="preserve"> hned</w:t>
      </w:r>
      <w:r w:rsidR="00F12BD5" w:rsidRPr="00F12BD5">
        <w:t xml:space="preserve"> dvakrát</w:t>
      </w:r>
      <w:r w:rsidR="00882B70">
        <w:t>. V</w:t>
      </w:r>
      <w:r w:rsidR="00F12BD5" w:rsidRPr="00F12BD5">
        <w:t xml:space="preserve"> prvním kroku ji stanovuje proškolená autorizovaná osoba </w:t>
      </w:r>
      <w:proofErr w:type="spellStart"/>
      <w:r w:rsidR="00F12BD5" w:rsidRPr="00F12BD5">
        <w:t>SBToolCZ</w:t>
      </w:r>
      <w:proofErr w:type="spellEnd"/>
      <w:r w:rsidR="00F12BD5" w:rsidRPr="00F12BD5">
        <w:t xml:space="preserve"> a následně ji prověřuje jeden z nezávislých certifikačních orgánů, Technický a zkušební ústav stavební Praha, </w:t>
      </w:r>
      <w:proofErr w:type="spellStart"/>
      <w:r w:rsidR="00F12BD5" w:rsidRPr="00F12BD5">
        <w:t>s.p</w:t>
      </w:r>
      <w:proofErr w:type="spellEnd"/>
      <w:r w:rsidR="00F12BD5" w:rsidRPr="00F12BD5">
        <w:t xml:space="preserve">. nebo Výzkumný ústav pozemních </w:t>
      </w:r>
      <w:proofErr w:type="gramStart"/>
      <w:r w:rsidR="00F12BD5" w:rsidRPr="00F12BD5">
        <w:t>staveb - certifikační</w:t>
      </w:r>
      <w:proofErr w:type="gramEnd"/>
      <w:r w:rsidR="00F12BD5" w:rsidRPr="00F12BD5">
        <w:t xml:space="preserve"> společnost, s.r.o.</w:t>
      </w:r>
    </w:p>
    <w:p w14:paraId="674556BC" w14:textId="77777777" w:rsidR="00F12BD5" w:rsidRDefault="00F12BD5" w:rsidP="00A0748A"/>
    <w:p w14:paraId="6E1FF572" w14:textId="7DBE6407" w:rsidR="00882B70" w:rsidRDefault="00F12BD5" w:rsidP="00A0748A">
      <w:r w:rsidRPr="00F12BD5">
        <w:rPr>
          <w:i/>
          <w:iCs/>
        </w:rPr>
        <w:t>„</w:t>
      </w:r>
      <w:r w:rsidR="00A0748A" w:rsidRPr="00F12BD5">
        <w:rPr>
          <w:i/>
          <w:iCs/>
        </w:rPr>
        <w:t xml:space="preserve">Zařazení do Národního programu Česká kvalita představuje pro </w:t>
      </w:r>
      <w:proofErr w:type="spellStart"/>
      <w:r w:rsidR="00A0748A" w:rsidRPr="00F12BD5">
        <w:rPr>
          <w:i/>
          <w:iCs/>
        </w:rPr>
        <w:t>SBToolCZ</w:t>
      </w:r>
      <w:proofErr w:type="spellEnd"/>
      <w:r w:rsidR="00A0748A" w:rsidRPr="00F12BD5">
        <w:rPr>
          <w:i/>
          <w:iCs/>
        </w:rPr>
        <w:t xml:space="preserve"> významný milník. </w:t>
      </w:r>
      <w:proofErr w:type="spellStart"/>
      <w:r w:rsidR="00A0748A" w:rsidRPr="00F12BD5">
        <w:rPr>
          <w:i/>
          <w:iCs/>
        </w:rPr>
        <w:t>SBToolCZ</w:t>
      </w:r>
      <w:proofErr w:type="spellEnd"/>
      <w:r w:rsidR="00A0748A" w:rsidRPr="00F12BD5">
        <w:rPr>
          <w:i/>
          <w:iCs/>
        </w:rPr>
        <w:t xml:space="preserve"> v rámci programu poskytuje jedinou aktuálně státem uznanou značku kvality v oblasti hodnocení budov v České republice a přináší tak řadu praktických výhod. Certifikace může zlepšit postavení projektů ve výběrových řízeních, zvýšit transparentnost hodnocení a podpořit investory usilující o </w:t>
      </w:r>
      <w:r w:rsidR="00A0748A" w:rsidRPr="00F12BD5">
        <w:rPr>
          <w:i/>
          <w:iCs/>
        </w:rPr>
        <w:lastRenderedPageBreak/>
        <w:t>nadstandardní úroveň svých staveb</w:t>
      </w:r>
      <w:r w:rsidRPr="00F12BD5">
        <w:rPr>
          <w:i/>
          <w:iCs/>
        </w:rPr>
        <w:t xml:space="preserve">,“ </w:t>
      </w:r>
      <w:r w:rsidR="0066584B">
        <w:t xml:space="preserve">vysvětluje </w:t>
      </w:r>
      <w:r>
        <w:t xml:space="preserve">Martin Volf, </w:t>
      </w:r>
      <w:r w:rsidR="00F36EF8">
        <w:t>v</w:t>
      </w:r>
      <w:r w:rsidRPr="00F12BD5">
        <w:t>edoucí výzkumného oddělení Architektura a životní prostředí</w:t>
      </w:r>
      <w:r>
        <w:t xml:space="preserve"> ČVUT UCEEB. </w:t>
      </w:r>
    </w:p>
    <w:p w14:paraId="4317C087" w14:textId="77777777" w:rsidR="00882B70" w:rsidRDefault="00882B70" w:rsidP="00A0748A"/>
    <w:p w14:paraId="1CDE585F" w14:textId="5B180229" w:rsidR="00A0748A" w:rsidRDefault="00A0748A" w:rsidP="00A0748A">
      <w:r w:rsidRPr="00AA5143">
        <w:t>Pro developery pak certifikát slouží jako potvrzení vysoké kvality z hlediska udržitelnosti, technických parametrů i celkových užitných vlastností. Vyšší úroveň certifikace může navíc posílit marketingový potenciál projektu a v některých případech i jeho tržní hodnotu.</w:t>
      </w:r>
      <w:r>
        <w:t xml:space="preserve"> </w:t>
      </w:r>
      <w:r w:rsidRPr="00AA5143">
        <w:t xml:space="preserve">Propojení s </w:t>
      </w:r>
      <w:r w:rsidRPr="00A52060">
        <w:t>národním systémem kvality může vést k širšímu vy</w:t>
      </w:r>
      <w:r w:rsidRPr="00AA5143">
        <w:t>užití metodiky ve veřejných projektech, a tím podpořit vznik staveb, které splňují současné požadavky na udržitelnost, technickou úroveň i komfort uživatelů.</w:t>
      </w:r>
    </w:p>
    <w:p w14:paraId="4223CBB9" w14:textId="77777777" w:rsidR="00A52060" w:rsidRDefault="00A52060" w:rsidP="00A0748A"/>
    <w:p w14:paraId="4E5B0ABF" w14:textId="77E713F9" w:rsidR="00A52060" w:rsidRDefault="00A52060" w:rsidP="009E333D">
      <w:r w:rsidRPr="00A52060">
        <w:rPr>
          <w:i/>
          <w:iCs/>
        </w:rPr>
        <w:t>„Přejeme nově přijatým značkám, aby je jejich správci na „trhu“ dobře zviditelňovali a pomohli jim a zejména jejich klientům, kterým licenci na jejich užívání smluvně zpřístupnili, k rozvíjení kvalitních výrobků a služeb v ČR, ve prospěch spotřebitelů a občanů obecně,“</w:t>
      </w:r>
      <w:r>
        <w:t xml:space="preserve"> </w:t>
      </w:r>
      <w:r w:rsidR="0066584B">
        <w:t>uvedl</w:t>
      </w:r>
      <w:r w:rsidR="009E333D">
        <w:t xml:space="preserve"> Michal Klučka</w:t>
      </w:r>
      <w:r w:rsidR="0066584B">
        <w:t>,</w:t>
      </w:r>
      <w:r w:rsidR="009E333D">
        <w:t xml:space="preserve"> </w:t>
      </w:r>
      <w:r w:rsidR="009E333D">
        <w:t>vedoucí oddělení Rady kvality ČR</w:t>
      </w:r>
      <w:r w:rsidR="009E333D">
        <w:t xml:space="preserve"> </w:t>
      </w:r>
      <w:r w:rsidR="009E333D" w:rsidRPr="009E333D">
        <w:t>a předseda řídícího výboru Národního programu Česká kvalita</w:t>
      </w:r>
      <w:r w:rsidR="009E333D">
        <w:t>.</w:t>
      </w:r>
    </w:p>
    <w:p w14:paraId="6B6C0319" w14:textId="283329B8" w:rsidR="00C021FD" w:rsidRPr="00955468" w:rsidRDefault="00C021FD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hAnsi="Technika" w:cs="Arial"/>
          <w:sz w:val="22"/>
          <w:szCs w:val="22"/>
        </w:rPr>
      </w:pPr>
    </w:p>
    <w:p w14:paraId="23DF80E9" w14:textId="3E2BDAC4" w:rsidR="0064795D" w:rsidRPr="00955468" w:rsidRDefault="001064A8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eastAsiaTheme="minorHAnsi" w:hAnsi="Technika" w:cs="Arial"/>
          <w:sz w:val="18"/>
          <w:szCs w:val="18"/>
        </w:rPr>
      </w:pPr>
      <w:r w:rsidRPr="00955468">
        <w:rPr>
          <w:rFonts w:ascii="Technika" w:hAnsi="Technika"/>
          <w:b/>
          <w:bCs/>
          <w:sz w:val="18"/>
          <w:szCs w:val="18"/>
          <w:shd w:val="clear" w:color="auto" w:fill="FFFFFF"/>
        </w:rPr>
        <w:t>České vysoké učení technick</w:t>
      </w:r>
      <w:r w:rsidR="00921830" w:rsidRPr="00955468">
        <w:rPr>
          <w:rFonts w:ascii="Technika" w:hAnsi="Technika"/>
          <w:b/>
          <w:bCs/>
          <w:sz w:val="18"/>
          <w:szCs w:val="18"/>
          <w:shd w:val="clear" w:color="auto" w:fill="FFFFFF"/>
        </w:rPr>
        <w:t>é v Praze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patří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 nejv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a nejstar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vysok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m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kol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v Evrop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Podle Metodiky 2017+ je nejlep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eskou technikou ve skupin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hodnocen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vysok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ch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kol. V sou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asn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dob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osm fakult (stavebn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strojn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elektrotechnick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jadern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 fyzik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ln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rsk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architektury, dopravn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biomedic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nsk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ho 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rstv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informa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technologi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). Studuje na 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ř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es 19 000 student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ů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akademickém roce 202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5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/202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6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Praze akreditováno celkem 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279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studijních programů, z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toho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1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07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v angli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Krom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fakult tvo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ří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</w:t>
      </w:r>
      <w:proofErr w:type="gram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dokáží</w:t>
      </w:r>
      <w:proofErr w:type="gram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World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je ČVUT na 4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16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</w:t>
      </w:r>
      <w:r w:rsidR="000057CB">
        <w:rPr>
          <w:rFonts w:ascii="Technika" w:hAnsi="Technika"/>
          <w:sz w:val="18"/>
          <w:szCs w:val="18"/>
          <w:shd w:val="clear" w:color="auto" w:fill="FFFFFF"/>
        </w:rPr>
        <w:t>místě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V rámci hodnocení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Subject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2024 pro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Architecture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Build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Environments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je ČVUT 151.–200.,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Civil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Structural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”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je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VUT mezi 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15</w:t>
      </w:r>
      <w:r w:rsidR="00FF2277">
        <w:rPr>
          <w:rFonts w:ascii="Technika" w:hAnsi="Technika"/>
          <w:sz w:val="18"/>
          <w:szCs w:val="18"/>
          <w:shd w:val="clear" w:color="auto" w:fill="FFFFFF"/>
        </w:rPr>
        <w:t>1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0</w:t>
      </w:r>
      <w:r w:rsidR="00FF2277">
        <w:rPr>
          <w:rFonts w:ascii="Technika" w:hAnsi="Technika"/>
          <w:sz w:val="18"/>
          <w:szCs w:val="18"/>
          <w:shd w:val="clear" w:color="auto" w:fill="FFFFFF"/>
        </w:rPr>
        <w:t>0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stem, v oblasti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Mechanical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Aeronautical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Manufacturing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na 201.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250.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u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Electrical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Electronic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na 201.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250. pozici.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Physics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jsou na 307. příčce.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Computer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Science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Information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Material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na 251.–300. místě,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Mathematics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na 301.–350. místě a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jsou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Munich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Denmark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Eindhoven,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École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– L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X, Tallinn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Technology,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cole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f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de Lausanne a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Technion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Israel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Institute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Technology. Roku 2023 byla aliance roz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šíř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School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(University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Navarra). 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ce na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2" w:history="1">
        <w:r w:rsidR="00921830" w:rsidRPr="00955468">
          <w:rPr>
            <w:rStyle w:val="Hypertextovodkaz"/>
            <w:rFonts w:ascii="Technika" w:hAnsi="Technika"/>
            <w:bCs/>
            <w:sz w:val="18"/>
            <w:szCs w:val="18"/>
            <w:shd w:val="clear" w:color="auto" w:fill="FFFFFF"/>
          </w:rPr>
          <w:t>www.cvut.cz</w:t>
        </w:r>
      </w:hyperlink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</w:t>
      </w:r>
      <w:r w:rsidR="00227F55" w:rsidRPr="00955468">
        <w:rPr>
          <w:rFonts w:ascii="Technika" w:eastAsiaTheme="minorHAnsi" w:hAnsi="Technika" w:cs="Arial"/>
          <w:sz w:val="18"/>
          <w:szCs w:val="18"/>
        </w:rPr>
        <w:t xml:space="preserve"> </w:t>
      </w:r>
    </w:p>
    <w:sectPr w:rsidR="0064795D" w:rsidRPr="00955468" w:rsidSect="005D2284">
      <w:headerReference w:type="default" r:id="rId13"/>
      <w:headerReference w:type="first" r:id="rId14"/>
      <w:footerReference w:type="first" r:id="rId15"/>
      <w:pgSz w:w="11906" w:h="16838"/>
      <w:pgMar w:top="3407" w:right="851" w:bottom="1276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04E0" w14:textId="77777777" w:rsidR="009311A2" w:rsidRDefault="009311A2" w:rsidP="003829EA">
      <w:pPr>
        <w:spacing w:line="240" w:lineRule="auto"/>
      </w:pPr>
      <w:r>
        <w:separator/>
      </w:r>
    </w:p>
  </w:endnote>
  <w:endnote w:type="continuationSeparator" w:id="0">
    <w:p w14:paraId="6B1A7922" w14:textId="77777777" w:rsidR="009311A2" w:rsidRDefault="009311A2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roman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8F0F6D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A5A4" w14:textId="77777777" w:rsidR="009311A2" w:rsidRDefault="009311A2" w:rsidP="003829EA">
      <w:pPr>
        <w:spacing w:line="240" w:lineRule="auto"/>
      </w:pPr>
      <w:r>
        <w:separator/>
      </w:r>
    </w:p>
  </w:footnote>
  <w:footnote w:type="continuationSeparator" w:id="0">
    <w:p w14:paraId="6C6644F0" w14:textId="77777777" w:rsidR="009311A2" w:rsidRDefault="009311A2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AC376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40A2DE"/>
    <w:multiLevelType w:val="hybridMultilevel"/>
    <w:tmpl w:val="655C171E"/>
    <w:lvl w:ilvl="0" w:tplc="262E1F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18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C0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0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A4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B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2F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F88"/>
    <w:multiLevelType w:val="hybridMultilevel"/>
    <w:tmpl w:val="F56AA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0F21A"/>
    <w:multiLevelType w:val="hybridMultilevel"/>
    <w:tmpl w:val="258CB7CA"/>
    <w:lvl w:ilvl="0" w:tplc="3C6A30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74C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B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A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F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8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E7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968E90"/>
    <w:multiLevelType w:val="hybridMultilevel"/>
    <w:tmpl w:val="6302AC56"/>
    <w:lvl w:ilvl="0" w:tplc="E83CC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BC5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4B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62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67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4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E5A0A"/>
    <w:multiLevelType w:val="hybridMultilevel"/>
    <w:tmpl w:val="D6841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952BD"/>
    <w:multiLevelType w:val="hybridMultilevel"/>
    <w:tmpl w:val="4F68C946"/>
    <w:lvl w:ilvl="0" w:tplc="E32C8D9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7348">
    <w:abstractNumId w:val="5"/>
  </w:num>
  <w:num w:numId="2" w16cid:durableId="160974146">
    <w:abstractNumId w:val="3"/>
  </w:num>
  <w:num w:numId="3" w16cid:durableId="247617114">
    <w:abstractNumId w:val="0"/>
  </w:num>
  <w:num w:numId="4" w16cid:durableId="1307317348">
    <w:abstractNumId w:val="8"/>
  </w:num>
  <w:num w:numId="5" w16cid:durableId="55975437">
    <w:abstractNumId w:val="7"/>
  </w:num>
  <w:num w:numId="6" w16cid:durableId="1339969405">
    <w:abstractNumId w:val="1"/>
  </w:num>
  <w:num w:numId="7" w16cid:durableId="896163895">
    <w:abstractNumId w:val="6"/>
  </w:num>
  <w:num w:numId="8" w16cid:durableId="1560625933">
    <w:abstractNumId w:val="4"/>
  </w:num>
  <w:num w:numId="9" w16cid:durableId="195378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0C43"/>
    <w:rsid w:val="00001621"/>
    <w:rsid w:val="00001D2A"/>
    <w:rsid w:val="000057CB"/>
    <w:rsid w:val="00010DFB"/>
    <w:rsid w:val="00011890"/>
    <w:rsid w:val="00012BEA"/>
    <w:rsid w:val="00016822"/>
    <w:rsid w:val="00016AFC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1917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6ED"/>
    <w:rsid w:val="00076DC5"/>
    <w:rsid w:val="00080867"/>
    <w:rsid w:val="00080A5C"/>
    <w:rsid w:val="00084E6A"/>
    <w:rsid w:val="00085CCE"/>
    <w:rsid w:val="00090A1E"/>
    <w:rsid w:val="0009492D"/>
    <w:rsid w:val="0009550A"/>
    <w:rsid w:val="00096865"/>
    <w:rsid w:val="000A4D7F"/>
    <w:rsid w:val="000A53BA"/>
    <w:rsid w:val="000A53BC"/>
    <w:rsid w:val="000A6197"/>
    <w:rsid w:val="000A6F62"/>
    <w:rsid w:val="000B08F8"/>
    <w:rsid w:val="000C7203"/>
    <w:rsid w:val="000D4E8F"/>
    <w:rsid w:val="000D5D47"/>
    <w:rsid w:val="000D7C1C"/>
    <w:rsid w:val="000F022C"/>
    <w:rsid w:val="000F3D93"/>
    <w:rsid w:val="000F436A"/>
    <w:rsid w:val="000F5CBA"/>
    <w:rsid w:val="000F72F3"/>
    <w:rsid w:val="001017F7"/>
    <w:rsid w:val="001064A8"/>
    <w:rsid w:val="001079D8"/>
    <w:rsid w:val="001143EB"/>
    <w:rsid w:val="00114753"/>
    <w:rsid w:val="00114B39"/>
    <w:rsid w:val="001173CA"/>
    <w:rsid w:val="00125B6F"/>
    <w:rsid w:val="00125CDB"/>
    <w:rsid w:val="00127864"/>
    <w:rsid w:val="00130545"/>
    <w:rsid w:val="001348FC"/>
    <w:rsid w:val="001378C0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7286B"/>
    <w:rsid w:val="001766B4"/>
    <w:rsid w:val="00180787"/>
    <w:rsid w:val="0018138B"/>
    <w:rsid w:val="001816B5"/>
    <w:rsid w:val="00181B29"/>
    <w:rsid w:val="00186B27"/>
    <w:rsid w:val="00186EEB"/>
    <w:rsid w:val="001871BC"/>
    <w:rsid w:val="001A78D9"/>
    <w:rsid w:val="001B57EE"/>
    <w:rsid w:val="001B7536"/>
    <w:rsid w:val="001C2626"/>
    <w:rsid w:val="001C3697"/>
    <w:rsid w:val="001C42CD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0475"/>
    <w:rsid w:val="00201EDE"/>
    <w:rsid w:val="00203BDB"/>
    <w:rsid w:val="00205C37"/>
    <w:rsid w:val="00207A67"/>
    <w:rsid w:val="002109C7"/>
    <w:rsid w:val="002176AC"/>
    <w:rsid w:val="00223732"/>
    <w:rsid w:val="00227F55"/>
    <w:rsid w:val="00232BA7"/>
    <w:rsid w:val="0023517F"/>
    <w:rsid w:val="00237423"/>
    <w:rsid w:val="00241EE9"/>
    <w:rsid w:val="00241FB9"/>
    <w:rsid w:val="0024677B"/>
    <w:rsid w:val="0024679F"/>
    <w:rsid w:val="002468D5"/>
    <w:rsid w:val="00251C43"/>
    <w:rsid w:val="002553A2"/>
    <w:rsid w:val="00256D35"/>
    <w:rsid w:val="002640F1"/>
    <w:rsid w:val="002707EA"/>
    <w:rsid w:val="00274C75"/>
    <w:rsid w:val="00274D01"/>
    <w:rsid w:val="002759C3"/>
    <w:rsid w:val="002819B9"/>
    <w:rsid w:val="0028591C"/>
    <w:rsid w:val="00286717"/>
    <w:rsid w:val="00286E6A"/>
    <w:rsid w:val="0028780B"/>
    <w:rsid w:val="00291D39"/>
    <w:rsid w:val="00296D15"/>
    <w:rsid w:val="00297CB8"/>
    <w:rsid w:val="002A04E9"/>
    <w:rsid w:val="002A4B9F"/>
    <w:rsid w:val="002B187B"/>
    <w:rsid w:val="002B5794"/>
    <w:rsid w:val="002C54BB"/>
    <w:rsid w:val="002D3122"/>
    <w:rsid w:val="002D4522"/>
    <w:rsid w:val="002E581B"/>
    <w:rsid w:val="002F018C"/>
    <w:rsid w:val="002F1667"/>
    <w:rsid w:val="002F541A"/>
    <w:rsid w:val="002F67D5"/>
    <w:rsid w:val="003010E1"/>
    <w:rsid w:val="00303659"/>
    <w:rsid w:val="003056B6"/>
    <w:rsid w:val="00306900"/>
    <w:rsid w:val="003069AE"/>
    <w:rsid w:val="00306AEF"/>
    <w:rsid w:val="003103FC"/>
    <w:rsid w:val="003118BF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1E0F"/>
    <w:rsid w:val="00355919"/>
    <w:rsid w:val="003559A8"/>
    <w:rsid w:val="00361038"/>
    <w:rsid w:val="00362CEF"/>
    <w:rsid w:val="00363503"/>
    <w:rsid w:val="003651C0"/>
    <w:rsid w:val="00370528"/>
    <w:rsid w:val="0037059C"/>
    <w:rsid w:val="00371198"/>
    <w:rsid w:val="003717F1"/>
    <w:rsid w:val="0037238E"/>
    <w:rsid w:val="00373E52"/>
    <w:rsid w:val="00373FCD"/>
    <w:rsid w:val="00380656"/>
    <w:rsid w:val="00380DBA"/>
    <w:rsid w:val="00382773"/>
    <w:rsid w:val="003829EA"/>
    <w:rsid w:val="00385BC0"/>
    <w:rsid w:val="00386C6F"/>
    <w:rsid w:val="00387CAD"/>
    <w:rsid w:val="003917B2"/>
    <w:rsid w:val="003A768B"/>
    <w:rsid w:val="003B45CC"/>
    <w:rsid w:val="003C1D10"/>
    <w:rsid w:val="003C3820"/>
    <w:rsid w:val="003D3C98"/>
    <w:rsid w:val="003D4289"/>
    <w:rsid w:val="003E4EC9"/>
    <w:rsid w:val="003F16B7"/>
    <w:rsid w:val="00400F34"/>
    <w:rsid w:val="004020BE"/>
    <w:rsid w:val="00406215"/>
    <w:rsid w:val="00407E52"/>
    <w:rsid w:val="0041339E"/>
    <w:rsid w:val="0041576B"/>
    <w:rsid w:val="00420F6D"/>
    <w:rsid w:val="0042401F"/>
    <w:rsid w:val="00424596"/>
    <w:rsid w:val="00424944"/>
    <w:rsid w:val="0042699B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43F8F"/>
    <w:rsid w:val="0045242F"/>
    <w:rsid w:val="004529D4"/>
    <w:rsid w:val="004540F0"/>
    <w:rsid w:val="00456C94"/>
    <w:rsid w:val="00457C22"/>
    <w:rsid w:val="00460BC8"/>
    <w:rsid w:val="0046408F"/>
    <w:rsid w:val="00464D19"/>
    <w:rsid w:val="0047137B"/>
    <w:rsid w:val="00472932"/>
    <w:rsid w:val="00472CB5"/>
    <w:rsid w:val="00475F45"/>
    <w:rsid w:val="004764D3"/>
    <w:rsid w:val="00477D4D"/>
    <w:rsid w:val="004800DB"/>
    <w:rsid w:val="004817D1"/>
    <w:rsid w:val="00487551"/>
    <w:rsid w:val="00487AF1"/>
    <w:rsid w:val="00496C3A"/>
    <w:rsid w:val="004A4750"/>
    <w:rsid w:val="004B24F9"/>
    <w:rsid w:val="004B61BC"/>
    <w:rsid w:val="004B6394"/>
    <w:rsid w:val="004C0188"/>
    <w:rsid w:val="004C32DD"/>
    <w:rsid w:val="004C34B5"/>
    <w:rsid w:val="004C5405"/>
    <w:rsid w:val="004C5D7B"/>
    <w:rsid w:val="004D1A6D"/>
    <w:rsid w:val="004E1E20"/>
    <w:rsid w:val="004E4774"/>
    <w:rsid w:val="004E7BD1"/>
    <w:rsid w:val="004F21C2"/>
    <w:rsid w:val="004F3F6C"/>
    <w:rsid w:val="004F658A"/>
    <w:rsid w:val="004F7204"/>
    <w:rsid w:val="00506CFF"/>
    <w:rsid w:val="00512B0E"/>
    <w:rsid w:val="00512DE3"/>
    <w:rsid w:val="005163DC"/>
    <w:rsid w:val="0051641F"/>
    <w:rsid w:val="00520F33"/>
    <w:rsid w:val="00521253"/>
    <w:rsid w:val="00525FE1"/>
    <w:rsid w:val="00527D8C"/>
    <w:rsid w:val="00530278"/>
    <w:rsid w:val="00533E17"/>
    <w:rsid w:val="005360C9"/>
    <w:rsid w:val="0054042E"/>
    <w:rsid w:val="0055192F"/>
    <w:rsid w:val="005529E4"/>
    <w:rsid w:val="005545DC"/>
    <w:rsid w:val="005559D3"/>
    <w:rsid w:val="0055615C"/>
    <w:rsid w:val="0056284F"/>
    <w:rsid w:val="00562D0B"/>
    <w:rsid w:val="00566042"/>
    <w:rsid w:val="00574099"/>
    <w:rsid w:val="00575C76"/>
    <w:rsid w:val="00577A1E"/>
    <w:rsid w:val="005804CC"/>
    <w:rsid w:val="00582789"/>
    <w:rsid w:val="00584AE2"/>
    <w:rsid w:val="00584D80"/>
    <w:rsid w:val="00585555"/>
    <w:rsid w:val="00587FBE"/>
    <w:rsid w:val="00591334"/>
    <w:rsid w:val="0059135E"/>
    <w:rsid w:val="005920A0"/>
    <w:rsid w:val="00595E0C"/>
    <w:rsid w:val="005A2EC0"/>
    <w:rsid w:val="005B1EC7"/>
    <w:rsid w:val="005B780D"/>
    <w:rsid w:val="005B7E27"/>
    <w:rsid w:val="005C148E"/>
    <w:rsid w:val="005D2179"/>
    <w:rsid w:val="005D2284"/>
    <w:rsid w:val="005D6019"/>
    <w:rsid w:val="005D7AB0"/>
    <w:rsid w:val="005E574D"/>
    <w:rsid w:val="005E759D"/>
    <w:rsid w:val="005F0180"/>
    <w:rsid w:val="005F0396"/>
    <w:rsid w:val="005F1B84"/>
    <w:rsid w:val="005F247D"/>
    <w:rsid w:val="005F606B"/>
    <w:rsid w:val="005F6519"/>
    <w:rsid w:val="005F7712"/>
    <w:rsid w:val="00601B9C"/>
    <w:rsid w:val="00612C80"/>
    <w:rsid w:val="00613C12"/>
    <w:rsid w:val="00614F66"/>
    <w:rsid w:val="00625CB9"/>
    <w:rsid w:val="00634BDD"/>
    <w:rsid w:val="006438D2"/>
    <w:rsid w:val="0064795D"/>
    <w:rsid w:val="00647F49"/>
    <w:rsid w:val="00655AC1"/>
    <w:rsid w:val="00661F62"/>
    <w:rsid w:val="006648EF"/>
    <w:rsid w:val="0066584B"/>
    <w:rsid w:val="00667892"/>
    <w:rsid w:val="00674493"/>
    <w:rsid w:val="006752AD"/>
    <w:rsid w:val="00680A57"/>
    <w:rsid w:val="006847F6"/>
    <w:rsid w:val="006865E5"/>
    <w:rsid w:val="006943BA"/>
    <w:rsid w:val="00694575"/>
    <w:rsid w:val="00695326"/>
    <w:rsid w:val="00696317"/>
    <w:rsid w:val="00697A83"/>
    <w:rsid w:val="006A448F"/>
    <w:rsid w:val="006A56C8"/>
    <w:rsid w:val="006B1BC1"/>
    <w:rsid w:val="006B37D3"/>
    <w:rsid w:val="006B599E"/>
    <w:rsid w:val="006B6CDA"/>
    <w:rsid w:val="006B7AC7"/>
    <w:rsid w:val="006C1249"/>
    <w:rsid w:val="006C4C62"/>
    <w:rsid w:val="006D2325"/>
    <w:rsid w:val="006E1F9C"/>
    <w:rsid w:val="006E58B6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17558"/>
    <w:rsid w:val="007248D6"/>
    <w:rsid w:val="0072572D"/>
    <w:rsid w:val="007334A1"/>
    <w:rsid w:val="007344DD"/>
    <w:rsid w:val="007431D0"/>
    <w:rsid w:val="00743584"/>
    <w:rsid w:val="00743B76"/>
    <w:rsid w:val="00743CC8"/>
    <w:rsid w:val="00746B8B"/>
    <w:rsid w:val="00747EBE"/>
    <w:rsid w:val="00750BEC"/>
    <w:rsid w:val="00751B28"/>
    <w:rsid w:val="00752C3F"/>
    <w:rsid w:val="00753A27"/>
    <w:rsid w:val="007559B9"/>
    <w:rsid w:val="00760C29"/>
    <w:rsid w:val="00761F35"/>
    <w:rsid w:val="0076398B"/>
    <w:rsid w:val="0076597A"/>
    <w:rsid w:val="00766A6F"/>
    <w:rsid w:val="00773DA6"/>
    <w:rsid w:val="0077500B"/>
    <w:rsid w:val="00775641"/>
    <w:rsid w:val="007761B7"/>
    <w:rsid w:val="007832D0"/>
    <w:rsid w:val="00784A8F"/>
    <w:rsid w:val="00784B27"/>
    <w:rsid w:val="00786DC1"/>
    <w:rsid w:val="00790AFA"/>
    <w:rsid w:val="00794916"/>
    <w:rsid w:val="00795613"/>
    <w:rsid w:val="007964F5"/>
    <w:rsid w:val="007A4A42"/>
    <w:rsid w:val="007A754F"/>
    <w:rsid w:val="007B0414"/>
    <w:rsid w:val="007B06F9"/>
    <w:rsid w:val="007B2E6E"/>
    <w:rsid w:val="007B4876"/>
    <w:rsid w:val="007B5531"/>
    <w:rsid w:val="007B5807"/>
    <w:rsid w:val="007B68EC"/>
    <w:rsid w:val="007C5CD0"/>
    <w:rsid w:val="007C683E"/>
    <w:rsid w:val="007D098B"/>
    <w:rsid w:val="007D2200"/>
    <w:rsid w:val="007D4E04"/>
    <w:rsid w:val="007D4EE9"/>
    <w:rsid w:val="007D57DB"/>
    <w:rsid w:val="007D5B59"/>
    <w:rsid w:val="007D6E7C"/>
    <w:rsid w:val="007E230D"/>
    <w:rsid w:val="007E5ED5"/>
    <w:rsid w:val="007E656A"/>
    <w:rsid w:val="007E7517"/>
    <w:rsid w:val="007F11DF"/>
    <w:rsid w:val="007F2D94"/>
    <w:rsid w:val="00801CB3"/>
    <w:rsid w:val="00802B0C"/>
    <w:rsid w:val="00805B77"/>
    <w:rsid w:val="008065C4"/>
    <w:rsid w:val="00806768"/>
    <w:rsid w:val="00807F1E"/>
    <w:rsid w:val="00810C06"/>
    <w:rsid w:val="00812E9B"/>
    <w:rsid w:val="00814DAA"/>
    <w:rsid w:val="0081669E"/>
    <w:rsid w:val="00817AB9"/>
    <w:rsid w:val="00826379"/>
    <w:rsid w:val="00827B46"/>
    <w:rsid w:val="0083222C"/>
    <w:rsid w:val="00832387"/>
    <w:rsid w:val="00833F21"/>
    <w:rsid w:val="00850ECD"/>
    <w:rsid w:val="0085311E"/>
    <w:rsid w:val="00855B13"/>
    <w:rsid w:val="00855D42"/>
    <w:rsid w:val="00863750"/>
    <w:rsid w:val="00864945"/>
    <w:rsid w:val="00867DCF"/>
    <w:rsid w:val="008718E1"/>
    <w:rsid w:val="0088161C"/>
    <w:rsid w:val="008828B5"/>
    <w:rsid w:val="00882B70"/>
    <w:rsid w:val="00885EC2"/>
    <w:rsid w:val="00887488"/>
    <w:rsid w:val="0089067A"/>
    <w:rsid w:val="00890D1A"/>
    <w:rsid w:val="00891323"/>
    <w:rsid w:val="0089204C"/>
    <w:rsid w:val="0089260C"/>
    <w:rsid w:val="00892B51"/>
    <w:rsid w:val="008938F4"/>
    <w:rsid w:val="008940E0"/>
    <w:rsid w:val="00894D1D"/>
    <w:rsid w:val="00896A77"/>
    <w:rsid w:val="008A47FD"/>
    <w:rsid w:val="008B0A04"/>
    <w:rsid w:val="008B5C6D"/>
    <w:rsid w:val="008C5374"/>
    <w:rsid w:val="008D0849"/>
    <w:rsid w:val="008D4B2A"/>
    <w:rsid w:val="008D5689"/>
    <w:rsid w:val="008D5DCD"/>
    <w:rsid w:val="008E6DDF"/>
    <w:rsid w:val="008E710C"/>
    <w:rsid w:val="008E754C"/>
    <w:rsid w:val="008F332A"/>
    <w:rsid w:val="008F333C"/>
    <w:rsid w:val="00901775"/>
    <w:rsid w:val="00904DCF"/>
    <w:rsid w:val="00906F3B"/>
    <w:rsid w:val="009116DB"/>
    <w:rsid w:val="00912154"/>
    <w:rsid w:val="00914E5D"/>
    <w:rsid w:val="00915382"/>
    <w:rsid w:val="00921830"/>
    <w:rsid w:val="009234B1"/>
    <w:rsid w:val="0092443D"/>
    <w:rsid w:val="00925272"/>
    <w:rsid w:val="009311A2"/>
    <w:rsid w:val="00941856"/>
    <w:rsid w:val="0094353B"/>
    <w:rsid w:val="0094585F"/>
    <w:rsid w:val="009502FE"/>
    <w:rsid w:val="009547B7"/>
    <w:rsid w:val="00955468"/>
    <w:rsid w:val="009566D3"/>
    <w:rsid w:val="009625CD"/>
    <w:rsid w:val="00962DA5"/>
    <w:rsid w:val="00964537"/>
    <w:rsid w:val="00964AD0"/>
    <w:rsid w:val="00973CC2"/>
    <w:rsid w:val="00974AFB"/>
    <w:rsid w:val="00976657"/>
    <w:rsid w:val="009767CE"/>
    <w:rsid w:val="00981C3F"/>
    <w:rsid w:val="00993EE6"/>
    <w:rsid w:val="00997E73"/>
    <w:rsid w:val="009A04F0"/>
    <w:rsid w:val="009A7DA8"/>
    <w:rsid w:val="009A7EEC"/>
    <w:rsid w:val="009B3F71"/>
    <w:rsid w:val="009C097C"/>
    <w:rsid w:val="009C3103"/>
    <w:rsid w:val="009C5FA4"/>
    <w:rsid w:val="009C65ED"/>
    <w:rsid w:val="009C6FF1"/>
    <w:rsid w:val="009C760E"/>
    <w:rsid w:val="009D4817"/>
    <w:rsid w:val="009D5A2B"/>
    <w:rsid w:val="009D6551"/>
    <w:rsid w:val="009E333D"/>
    <w:rsid w:val="009E5269"/>
    <w:rsid w:val="009E575D"/>
    <w:rsid w:val="009E5CBD"/>
    <w:rsid w:val="009F3182"/>
    <w:rsid w:val="009F6BE8"/>
    <w:rsid w:val="00A00AB6"/>
    <w:rsid w:val="00A016F3"/>
    <w:rsid w:val="00A01B45"/>
    <w:rsid w:val="00A059A7"/>
    <w:rsid w:val="00A05CE6"/>
    <w:rsid w:val="00A067E1"/>
    <w:rsid w:val="00A0748A"/>
    <w:rsid w:val="00A07DA2"/>
    <w:rsid w:val="00A1314E"/>
    <w:rsid w:val="00A13372"/>
    <w:rsid w:val="00A141E8"/>
    <w:rsid w:val="00A15409"/>
    <w:rsid w:val="00A15B4D"/>
    <w:rsid w:val="00A2172D"/>
    <w:rsid w:val="00A22017"/>
    <w:rsid w:val="00A24C3B"/>
    <w:rsid w:val="00A25F66"/>
    <w:rsid w:val="00A27A25"/>
    <w:rsid w:val="00A3030E"/>
    <w:rsid w:val="00A410A3"/>
    <w:rsid w:val="00A430CA"/>
    <w:rsid w:val="00A43243"/>
    <w:rsid w:val="00A471BC"/>
    <w:rsid w:val="00A5019A"/>
    <w:rsid w:val="00A52060"/>
    <w:rsid w:val="00A60BDB"/>
    <w:rsid w:val="00A633CE"/>
    <w:rsid w:val="00A710D0"/>
    <w:rsid w:val="00A725EB"/>
    <w:rsid w:val="00A732E7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956EE"/>
    <w:rsid w:val="00A96DAC"/>
    <w:rsid w:val="00AA02F8"/>
    <w:rsid w:val="00AA0ADC"/>
    <w:rsid w:val="00AA1B8B"/>
    <w:rsid w:val="00AB2A44"/>
    <w:rsid w:val="00AB6EE2"/>
    <w:rsid w:val="00AB7B16"/>
    <w:rsid w:val="00AC379D"/>
    <w:rsid w:val="00AC3E8D"/>
    <w:rsid w:val="00AC6D20"/>
    <w:rsid w:val="00AD09D5"/>
    <w:rsid w:val="00AD0B01"/>
    <w:rsid w:val="00AD3AC2"/>
    <w:rsid w:val="00AD75EB"/>
    <w:rsid w:val="00AD7EE8"/>
    <w:rsid w:val="00AE0870"/>
    <w:rsid w:val="00AE1266"/>
    <w:rsid w:val="00AF12AF"/>
    <w:rsid w:val="00AF4BB3"/>
    <w:rsid w:val="00B00C6D"/>
    <w:rsid w:val="00B122CE"/>
    <w:rsid w:val="00B1277E"/>
    <w:rsid w:val="00B1378B"/>
    <w:rsid w:val="00B22D75"/>
    <w:rsid w:val="00B26761"/>
    <w:rsid w:val="00B323CB"/>
    <w:rsid w:val="00B34194"/>
    <w:rsid w:val="00B342FB"/>
    <w:rsid w:val="00B436A4"/>
    <w:rsid w:val="00B4467A"/>
    <w:rsid w:val="00B44F90"/>
    <w:rsid w:val="00B51EC7"/>
    <w:rsid w:val="00B54B03"/>
    <w:rsid w:val="00B56F28"/>
    <w:rsid w:val="00B63D38"/>
    <w:rsid w:val="00B65C8A"/>
    <w:rsid w:val="00B66759"/>
    <w:rsid w:val="00B71B05"/>
    <w:rsid w:val="00B77193"/>
    <w:rsid w:val="00B840D2"/>
    <w:rsid w:val="00B8497C"/>
    <w:rsid w:val="00B8574B"/>
    <w:rsid w:val="00B90C5E"/>
    <w:rsid w:val="00B953D8"/>
    <w:rsid w:val="00B97121"/>
    <w:rsid w:val="00B97C63"/>
    <w:rsid w:val="00BA0297"/>
    <w:rsid w:val="00BB34A7"/>
    <w:rsid w:val="00BB5331"/>
    <w:rsid w:val="00BC0E55"/>
    <w:rsid w:val="00BC1D28"/>
    <w:rsid w:val="00BC2C10"/>
    <w:rsid w:val="00BC343B"/>
    <w:rsid w:val="00BC3C9C"/>
    <w:rsid w:val="00BC4E7A"/>
    <w:rsid w:val="00BD26C0"/>
    <w:rsid w:val="00BD397F"/>
    <w:rsid w:val="00BD41CF"/>
    <w:rsid w:val="00BD4649"/>
    <w:rsid w:val="00BD573B"/>
    <w:rsid w:val="00BE084E"/>
    <w:rsid w:val="00BE3A4A"/>
    <w:rsid w:val="00BE3DFC"/>
    <w:rsid w:val="00BE51F8"/>
    <w:rsid w:val="00BF07F6"/>
    <w:rsid w:val="00BF1D2C"/>
    <w:rsid w:val="00BF2FF5"/>
    <w:rsid w:val="00BF4E50"/>
    <w:rsid w:val="00BF71C0"/>
    <w:rsid w:val="00BF7F31"/>
    <w:rsid w:val="00BF7F7D"/>
    <w:rsid w:val="00C01135"/>
    <w:rsid w:val="00C01D0A"/>
    <w:rsid w:val="00C021FD"/>
    <w:rsid w:val="00C0296D"/>
    <w:rsid w:val="00C06650"/>
    <w:rsid w:val="00C10B66"/>
    <w:rsid w:val="00C10E19"/>
    <w:rsid w:val="00C139F4"/>
    <w:rsid w:val="00C17DE3"/>
    <w:rsid w:val="00C22E50"/>
    <w:rsid w:val="00C25156"/>
    <w:rsid w:val="00C25AC2"/>
    <w:rsid w:val="00C267C9"/>
    <w:rsid w:val="00C31955"/>
    <w:rsid w:val="00C33036"/>
    <w:rsid w:val="00C343B5"/>
    <w:rsid w:val="00C35BD7"/>
    <w:rsid w:val="00C400F0"/>
    <w:rsid w:val="00C40D1D"/>
    <w:rsid w:val="00C44611"/>
    <w:rsid w:val="00C5222E"/>
    <w:rsid w:val="00C52F0B"/>
    <w:rsid w:val="00C54FE8"/>
    <w:rsid w:val="00C614F8"/>
    <w:rsid w:val="00C644AD"/>
    <w:rsid w:val="00C71F8B"/>
    <w:rsid w:val="00C74DE8"/>
    <w:rsid w:val="00C80FF1"/>
    <w:rsid w:val="00C926A4"/>
    <w:rsid w:val="00C93904"/>
    <w:rsid w:val="00C94055"/>
    <w:rsid w:val="00C94398"/>
    <w:rsid w:val="00CA088A"/>
    <w:rsid w:val="00CA0B59"/>
    <w:rsid w:val="00CA1B93"/>
    <w:rsid w:val="00CA2FDC"/>
    <w:rsid w:val="00CA329F"/>
    <w:rsid w:val="00CA5C03"/>
    <w:rsid w:val="00CC1321"/>
    <w:rsid w:val="00CC20A9"/>
    <w:rsid w:val="00CC2242"/>
    <w:rsid w:val="00CC7902"/>
    <w:rsid w:val="00CD244B"/>
    <w:rsid w:val="00CD5575"/>
    <w:rsid w:val="00CE1F4D"/>
    <w:rsid w:val="00CE63C6"/>
    <w:rsid w:val="00CE6DA7"/>
    <w:rsid w:val="00CF3BEF"/>
    <w:rsid w:val="00CF49A1"/>
    <w:rsid w:val="00CF545F"/>
    <w:rsid w:val="00CF5F9F"/>
    <w:rsid w:val="00D0455C"/>
    <w:rsid w:val="00D074AD"/>
    <w:rsid w:val="00D11FCE"/>
    <w:rsid w:val="00D15B19"/>
    <w:rsid w:val="00D17C33"/>
    <w:rsid w:val="00D23D06"/>
    <w:rsid w:val="00D24983"/>
    <w:rsid w:val="00D261ED"/>
    <w:rsid w:val="00D300FD"/>
    <w:rsid w:val="00D31919"/>
    <w:rsid w:val="00D3303A"/>
    <w:rsid w:val="00D33E16"/>
    <w:rsid w:val="00D356E0"/>
    <w:rsid w:val="00D409A6"/>
    <w:rsid w:val="00D43F2C"/>
    <w:rsid w:val="00D47616"/>
    <w:rsid w:val="00D50A07"/>
    <w:rsid w:val="00D513C8"/>
    <w:rsid w:val="00D5683F"/>
    <w:rsid w:val="00D63040"/>
    <w:rsid w:val="00D66D8C"/>
    <w:rsid w:val="00D75093"/>
    <w:rsid w:val="00D76794"/>
    <w:rsid w:val="00D77D86"/>
    <w:rsid w:val="00D81B9E"/>
    <w:rsid w:val="00D81BB6"/>
    <w:rsid w:val="00D82ABB"/>
    <w:rsid w:val="00D83475"/>
    <w:rsid w:val="00D86754"/>
    <w:rsid w:val="00D86F33"/>
    <w:rsid w:val="00D86F52"/>
    <w:rsid w:val="00D87CD1"/>
    <w:rsid w:val="00D93269"/>
    <w:rsid w:val="00D97EF4"/>
    <w:rsid w:val="00DA0BB0"/>
    <w:rsid w:val="00DA704A"/>
    <w:rsid w:val="00DA7370"/>
    <w:rsid w:val="00DB2004"/>
    <w:rsid w:val="00DB5666"/>
    <w:rsid w:val="00DC3A4F"/>
    <w:rsid w:val="00DC662C"/>
    <w:rsid w:val="00DD3C18"/>
    <w:rsid w:val="00DD5B5F"/>
    <w:rsid w:val="00DE02FE"/>
    <w:rsid w:val="00DE4AEB"/>
    <w:rsid w:val="00DE51FB"/>
    <w:rsid w:val="00DE6626"/>
    <w:rsid w:val="00DE6798"/>
    <w:rsid w:val="00DF2AC1"/>
    <w:rsid w:val="00DF47D3"/>
    <w:rsid w:val="00DF52BA"/>
    <w:rsid w:val="00E0357B"/>
    <w:rsid w:val="00E05720"/>
    <w:rsid w:val="00E06E4A"/>
    <w:rsid w:val="00E16874"/>
    <w:rsid w:val="00E2093C"/>
    <w:rsid w:val="00E25FF8"/>
    <w:rsid w:val="00E316B3"/>
    <w:rsid w:val="00E31A05"/>
    <w:rsid w:val="00E3235D"/>
    <w:rsid w:val="00E340C5"/>
    <w:rsid w:val="00E40EF2"/>
    <w:rsid w:val="00E415BC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14EF"/>
    <w:rsid w:val="00E83E31"/>
    <w:rsid w:val="00E83E4F"/>
    <w:rsid w:val="00E86899"/>
    <w:rsid w:val="00E9605C"/>
    <w:rsid w:val="00EA13FA"/>
    <w:rsid w:val="00EA24A5"/>
    <w:rsid w:val="00EA4D49"/>
    <w:rsid w:val="00EA5CDC"/>
    <w:rsid w:val="00EA6696"/>
    <w:rsid w:val="00EA6F87"/>
    <w:rsid w:val="00EA6FAC"/>
    <w:rsid w:val="00EA73F5"/>
    <w:rsid w:val="00EB03BC"/>
    <w:rsid w:val="00EB0A8D"/>
    <w:rsid w:val="00EB2504"/>
    <w:rsid w:val="00EB4A18"/>
    <w:rsid w:val="00EB66DF"/>
    <w:rsid w:val="00EC0FDC"/>
    <w:rsid w:val="00EC11B3"/>
    <w:rsid w:val="00EC7479"/>
    <w:rsid w:val="00EC7E3A"/>
    <w:rsid w:val="00ED00A9"/>
    <w:rsid w:val="00ED0C9D"/>
    <w:rsid w:val="00ED1DD1"/>
    <w:rsid w:val="00ED38ED"/>
    <w:rsid w:val="00ED597D"/>
    <w:rsid w:val="00ED64DC"/>
    <w:rsid w:val="00EE28D8"/>
    <w:rsid w:val="00EE5DA1"/>
    <w:rsid w:val="00EE76B2"/>
    <w:rsid w:val="00EF4A2D"/>
    <w:rsid w:val="00F03B5D"/>
    <w:rsid w:val="00F03B9C"/>
    <w:rsid w:val="00F03EBB"/>
    <w:rsid w:val="00F11829"/>
    <w:rsid w:val="00F1205A"/>
    <w:rsid w:val="00F12BD5"/>
    <w:rsid w:val="00F13553"/>
    <w:rsid w:val="00F154F8"/>
    <w:rsid w:val="00F21F10"/>
    <w:rsid w:val="00F2336D"/>
    <w:rsid w:val="00F23D38"/>
    <w:rsid w:val="00F307A5"/>
    <w:rsid w:val="00F31300"/>
    <w:rsid w:val="00F36D80"/>
    <w:rsid w:val="00F36EF8"/>
    <w:rsid w:val="00F44BF3"/>
    <w:rsid w:val="00F540F5"/>
    <w:rsid w:val="00F54B0C"/>
    <w:rsid w:val="00F5569D"/>
    <w:rsid w:val="00F55F2D"/>
    <w:rsid w:val="00F570F2"/>
    <w:rsid w:val="00F70AB1"/>
    <w:rsid w:val="00F71503"/>
    <w:rsid w:val="00F72512"/>
    <w:rsid w:val="00F72C2D"/>
    <w:rsid w:val="00F77C86"/>
    <w:rsid w:val="00F81BDF"/>
    <w:rsid w:val="00F845AC"/>
    <w:rsid w:val="00F84A9A"/>
    <w:rsid w:val="00F9087D"/>
    <w:rsid w:val="00F92545"/>
    <w:rsid w:val="00F94203"/>
    <w:rsid w:val="00F95E11"/>
    <w:rsid w:val="00F961EE"/>
    <w:rsid w:val="00FA1375"/>
    <w:rsid w:val="00FA1F44"/>
    <w:rsid w:val="00FA6BE5"/>
    <w:rsid w:val="00FA7904"/>
    <w:rsid w:val="00FA7F85"/>
    <w:rsid w:val="00FB484A"/>
    <w:rsid w:val="00FB58BF"/>
    <w:rsid w:val="00FC0E39"/>
    <w:rsid w:val="00FC2511"/>
    <w:rsid w:val="00FC60C7"/>
    <w:rsid w:val="00FD123E"/>
    <w:rsid w:val="00FD37A3"/>
    <w:rsid w:val="00FE0333"/>
    <w:rsid w:val="00FE1B7F"/>
    <w:rsid w:val="00FE25DF"/>
    <w:rsid w:val="00FE3755"/>
    <w:rsid w:val="00FE68E1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C35BD7"/>
  </w:style>
  <w:style w:type="character" w:customStyle="1" w:styleId="xlinktagnobg">
    <w:name w:val="x_linktagnobg"/>
    <w:basedOn w:val="Standardnpsmoodstavce"/>
    <w:rsid w:val="001378C0"/>
  </w:style>
  <w:style w:type="character" w:customStyle="1" w:styleId="Hyperlink0">
    <w:name w:val="Hyperlink.0"/>
    <w:basedOn w:val="Hypertextovodkaz"/>
    <w:rsid w:val="0089132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ut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VALENTOVA.2@cvu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1" ma:contentTypeDescription="Vytvoří nový dokument" ma:contentTypeScope="" ma:versionID="1946d90a1db05edac4ffd4eb07551333">
  <xsd:schema xmlns:xsd="http://www.w3.org/2001/XMLSchema" xmlns:xs="http://www.w3.org/2001/XMLSchema" xmlns:p="http://schemas.microsoft.com/office/2006/metadata/properties" xmlns:ns2="1f21efa9-a403-444a-8169-4661883491ca" targetNamespace="http://schemas.microsoft.com/office/2006/metadata/properties" ma:root="true" ma:fieldsID="d105a48a8f9afc550fc0f5e3d281a87d" ns2:_="">
    <xsd:import namespace="1f21efa9-a403-444a-8169-4661883491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40A9C-6791-4810-8EE2-B6CB8972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0C254-6762-478F-8E00-A9EA102DBC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</Template>
  <TotalTime>1</TotalTime>
  <Pages>2</Pages>
  <Words>834</Words>
  <Characters>4921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Chamradova, Martina</cp:lastModifiedBy>
  <cp:revision>2</cp:revision>
  <cp:lastPrinted>2025-10-09T11:45:00Z</cp:lastPrinted>
  <dcterms:created xsi:type="dcterms:W3CDTF">2025-11-26T14:42:00Z</dcterms:created>
  <dcterms:modified xsi:type="dcterms:W3CDTF">2025-11-26T14:42:00Z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  <property fmtid="{D5CDD505-2E9C-101B-9397-08002B2CF9AE}" pid="3" name="GrammarlyDocumentId">
    <vt:lpwstr>006bfd39d6a767883aea931d9dceb297969dcf6e9c422d2a22ef062c2f30a788</vt:lpwstr>
  </property>
</Properties>
</file>