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DC" w:rsidRDefault="008F522A" w:rsidP="00102630">
      <w:pPr>
        <w:pStyle w:val="Nadpiszpravy"/>
        <w:jc w:val="both"/>
      </w:pPr>
      <w:r>
        <w:t>Univerzitní centrum</w:t>
      </w:r>
      <w:r w:rsidR="00C426DC">
        <w:t xml:space="preserve"> energeticky efektivních budov ČVUT</w:t>
      </w:r>
      <w:r>
        <w:t xml:space="preserve"> nabídne v rámci dne otevřených dveří</w:t>
      </w:r>
      <w:r w:rsidR="00A26BD5">
        <w:t xml:space="preserve"> komentované</w:t>
      </w:r>
      <w:r>
        <w:t xml:space="preserve"> prohlídk</w:t>
      </w:r>
      <w:r w:rsidR="00A26BD5">
        <w:t>y</w:t>
      </w:r>
      <w:r>
        <w:t xml:space="preserve"> </w:t>
      </w:r>
    </w:p>
    <w:p w:rsidR="00C426DC" w:rsidRDefault="00C426DC" w:rsidP="006B599E">
      <w:pPr>
        <w:pStyle w:val="Nadpiszpravy"/>
      </w:pPr>
    </w:p>
    <w:p w:rsidR="00C426DC" w:rsidRPr="00157B3F" w:rsidRDefault="00C426DC" w:rsidP="00BA7FD8">
      <w:pPr>
        <w:jc w:val="both"/>
        <w:rPr>
          <w:b/>
        </w:rPr>
      </w:pPr>
      <w:r w:rsidRPr="00157B3F">
        <w:rPr>
          <w:b/>
        </w:rPr>
        <w:t xml:space="preserve">Univerzitní centrum energeticky efektivních budov ČVUT v Praze pořádá dne 11. listopadu 2016 Den otevřených dveří v rámci mezinárodní akce Dny pasivních domů 2016. V Buštěhradě, kde UCEEB sídlí, se </w:t>
      </w:r>
      <w:r w:rsidR="00F067D8" w:rsidRPr="00157B3F">
        <w:rPr>
          <w:b/>
        </w:rPr>
        <w:t>návštěvníci</w:t>
      </w:r>
      <w:r w:rsidRPr="00157B3F">
        <w:rPr>
          <w:b/>
        </w:rPr>
        <w:t xml:space="preserve"> mohou těšit na komentovanou prohlídku od 13</w:t>
      </w:r>
      <w:r w:rsidR="00157B3F">
        <w:rPr>
          <w:b/>
        </w:rPr>
        <w:t>.</w:t>
      </w:r>
      <w:r w:rsidRPr="00157B3F">
        <w:rPr>
          <w:b/>
        </w:rPr>
        <w:t>00 nebo 15</w:t>
      </w:r>
      <w:r w:rsidR="00157B3F">
        <w:rPr>
          <w:b/>
        </w:rPr>
        <w:t>.</w:t>
      </w:r>
      <w:r w:rsidRPr="00157B3F">
        <w:rPr>
          <w:b/>
        </w:rPr>
        <w:t xml:space="preserve">00 hodin.  </w:t>
      </w:r>
    </w:p>
    <w:p w:rsidR="00157B3F" w:rsidRDefault="00157B3F" w:rsidP="00BA7FD8">
      <w:pPr>
        <w:jc w:val="both"/>
      </w:pPr>
    </w:p>
    <w:p w:rsidR="00E82A26" w:rsidRDefault="00E82A26" w:rsidP="00BA7FD8">
      <w:pPr>
        <w:jc w:val="both"/>
      </w:pPr>
      <w:r>
        <w:t xml:space="preserve">V rámci prohlídky se zájemci mají možnost dozvědět o fungování energeticky efektivních budov, materiálech využitých při výstavbě pasivních domů a jejich testování nebo o projektech, na kterých výzkumné týmy pracují. Vidět tak mohou např. solární simulátor - </w:t>
      </w:r>
      <w:r w:rsidRPr="009523A8">
        <w:t>zařízení, které obsahuje lampy mající spektrum záření blížící se slunečnímu zářen</w:t>
      </w:r>
      <w:r>
        <w:t xml:space="preserve">í dopadajícímu na zemský povrch, Moisture Guard – systém pro kontinuální monitoring vlhkosti uvnitř v dřevěných konstrukcích, Envilop </w:t>
      </w:r>
      <w:r w:rsidR="00157B3F">
        <w:t>–</w:t>
      </w:r>
      <w:r>
        <w:t xml:space="preserve"> </w:t>
      </w:r>
      <w:r w:rsidRPr="004C66A4">
        <w:t>návrh řešení lehkého obvodového pláště panelového typu na bázi dřeva</w:t>
      </w:r>
      <w:r>
        <w:t xml:space="preserve"> a mikroelektrárnu WAVE </w:t>
      </w:r>
      <w:r w:rsidR="00373A9B">
        <w:t>–</w:t>
      </w:r>
      <w:r>
        <w:t xml:space="preserve"> </w:t>
      </w:r>
      <w:r w:rsidR="00373A9B">
        <w:t xml:space="preserve">výroba </w:t>
      </w:r>
      <w:r w:rsidR="00373A9B" w:rsidRPr="00373A9B">
        <w:t>elektřiny a tepla z</w:t>
      </w:r>
      <w:r w:rsidR="00373A9B">
        <w:t> </w:t>
      </w:r>
      <w:r w:rsidR="00373A9B" w:rsidRPr="00373A9B">
        <w:t>biomasy</w:t>
      </w:r>
      <w:r w:rsidR="00373A9B">
        <w:t>.</w:t>
      </w:r>
    </w:p>
    <w:p w:rsidR="00D631C8" w:rsidRDefault="00D631C8" w:rsidP="00BA7FD8">
      <w:pPr>
        <w:jc w:val="both"/>
      </w:pPr>
    </w:p>
    <w:p w:rsidR="00D631C8" w:rsidRDefault="00373A9B" w:rsidP="00BA7FD8">
      <w:pPr>
        <w:jc w:val="both"/>
      </w:pPr>
      <w:r>
        <w:t>Je to</w:t>
      </w:r>
      <w:r w:rsidR="00C64C75">
        <w:t xml:space="preserve"> jedinečná</w:t>
      </w:r>
      <w:r>
        <w:t xml:space="preserve"> </w:t>
      </w:r>
      <w:r w:rsidR="00D631C8">
        <w:t xml:space="preserve">příležitost pro ty, </w:t>
      </w:r>
      <w:r w:rsidR="00475AD6">
        <w:t>kteří</w:t>
      </w:r>
      <w:r w:rsidR="00C05447">
        <w:t xml:space="preserve"> </w:t>
      </w:r>
      <w:r w:rsidR="00475AD6">
        <w:t>se chtějí</w:t>
      </w:r>
      <w:r w:rsidR="00D631C8">
        <w:t xml:space="preserve"> zeptat odborníků na cokoliv, co je o pasivních domech a energetických úsporách zajímá</w:t>
      </w:r>
      <w:r w:rsidR="00157B3F">
        <w:t>,</w:t>
      </w:r>
      <w:r w:rsidR="00D631C8">
        <w:t xml:space="preserve"> a na vlastní oči se přesvědčit, jak taková energeticky efektivní budova</w:t>
      </w:r>
      <w:r w:rsidR="00C05447">
        <w:t xml:space="preserve"> </w:t>
      </w:r>
      <w:r w:rsidR="00475AD6">
        <w:t>zaměřující se</w:t>
      </w:r>
      <w:r w:rsidR="00D631C8">
        <w:t xml:space="preserve"> na obnovitelné zdroje energie, chytré sítě, materiály pro renovace a stavbu inteligentních budov vypadá a funguje.</w:t>
      </w:r>
    </w:p>
    <w:p w:rsidR="00C64C75" w:rsidRDefault="00C64C75" w:rsidP="00BA7FD8">
      <w:pPr>
        <w:jc w:val="both"/>
      </w:pPr>
    </w:p>
    <w:p w:rsidR="00C64C75" w:rsidRDefault="00C64C75" w:rsidP="00BA7FD8">
      <w:pPr>
        <w:jc w:val="both"/>
      </w:pPr>
      <w:r>
        <w:t xml:space="preserve">„Pokud </w:t>
      </w:r>
      <w:r w:rsidR="00A26BD5">
        <w:t xml:space="preserve">byste rádi viděli </w:t>
      </w:r>
      <w:r>
        <w:t>unikátní projekty, špičkové vybavení nejmodernějších laboratoří a zažít atmosféru vědeckého prostředí</w:t>
      </w:r>
      <w:r w:rsidR="003027C5">
        <w:t xml:space="preserve">, pak byste </w:t>
      </w:r>
      <w:r w:rsidR="00F067D8">
        <w:t xml:space="preserve">měli využít </w:t>
      </w:r>
      <w:r w:rsidR="004818F2">
        <w:t xml:space="preserve">tuto </w:t>
      </w:r>
      <w:r w:rsidR="00F067D8">
        <w:t xml:space="preserve">jedinečnou příležitost </w:t>
      </w:r>
      <w:r w:rsidR="004818F2">
        <w:t>k návštěvě našeho centra</w:t>
      </w:r>
      <w:r w:rsidR="00157B3F">
        <w:t>,</w:t>
      </w:r>
      <w:r w:rsidR="003027C5">
        <w:t xml:space="preserve">“ </w:t>
      </w:r>
      <w:r w:rsidR="00F067D8">
        <w:t>dodává</w:t>
      </w:r>
      <w:r w:rsidR="003027C5" w:rsidRPr="003027C5">
        <w:t xml:space="preserve"> Lukáš Ferkl</w:t>
      </w:r>
      <w:r w:rsidR="003027C5">
        <w:t>, ředitel UCEEB</w:t>
      </w:r>
      <w:r w:rsidR="00157B3F">
        <w:t>.</w:t>
      </w:r>
    </w:p>
    <w:p w:rsidR="00D631C8" w:rsidRDefault="00D631C8" w:rsidP="00BA7FD8">
      <w:pPr>
        <w:jc w:val="both"/>
      </w:pPr>
    </w:p>
    <w:p w:rsidR="00EC618B" w:rsidRDefault="00157B3F" w:rsidP="00D108FD">
      <w:r>
        <w:t>Prosíme z</w:t>
      </w:r>
      <w:r w:rsidR="00C64C75" w:rsidRPr="00C64C75">
        <w:t>ájem</w:t>
      </w:r>
      <w:r>
        <w:t>ce</w:t>
      </w:r>
      <w:r w:rsidR="00C64C75" w:rsidRPr="00C64C75">
        <w:t xml:space="preserve"> o návštěvu </w:t>
      </w:r>
      <w:r w:rsidR="00C64C75">
        <w:t>UCEEB ČVUT</w:t>
      </w:r>
      <w:r w:rsidR="00C64C75" w:rsidRPr="00C64C75">
        <w:t xml:space="preserve"> </w:t>
      </w:r>
      <w:r>
        <w:t xml:space="preserve">o </w:t>
      </w:r>
      <w:r w:rsidR="00C64C75">
        <w:t>registr</w:t>
      </w:r>
      <w:r>
        <w:t>aci</w:t>
      </w:r>
      <w:r w:rsidR="00C64C75">
        <w:t xml:space="preserve"> </w:t>
      </w:r>
      <w:r w:rsidR="00C64C75" w:rsidRPr="00EC618B">
        <w:t>do středy 9. listopadu</w:t>
      </w:r>
      <w:r w:rsidR="00C64C75" w:rsidRPr="00C64C75">
        <w:t xml:space="preserve"> </w:t>
      </w:r>
      <w:r w:rsidR="00C64C75">
        <w:t xml:space="preserve">prostřednictvím </w:t>
      </w:r>
      <w:r w:rsidR="00EC618B" w:rsidRPr="00EC618B">
        <w:t>e-mail</w:t>
      </w:r>
      <w:r w:rsidR="00C64C75">
        <w:t>u na</w:t>
      </w:r>
      <w:r w:rsidR="00EC618B" w:rsidRPr="00EC618B">
        <w:t xml:space="preserve"> sekretariat@uceeb.cz, nebo v události na </w:t>
      </w:r>
      <w:r w:rsidR="00EC618B" w:rsidRPr="00D108FD">
        <w:t>Facebooku</w:t>
      </w:r>
      <w:r w:rsidR="00D108FD">
        <w:t>: h</w:t>
      </w:r>
      <w:r w:rsidR="00D108FD" w:rsidRPr="00D108FD">
        <w:t>ttps://www.facebook.com/events/1228030630593449/</w:t>
      </w:r>
      <w:r w:rsidR="00EC618B" w:rsidRPr="00D108FD">
        <w:t>.</w:t>
      </w:r>
    </w:p>
    <w:p w:rsidR="001C7E6B" w:rsidRDefault="001C7E6B" w:rsidP="001C7E6B"/>
    <w:p w:rsidR="0055014E" w:rsidRDefault="0055014E" w:rsidP="0055014E">
      <w:pPr>
        <w:spacing w:after="165" w:line="240" w:lineRule="auto"/>
        <w:jc w:val="both"/>
        <w:rPr>
          <w:sz w:val="18"/>
          <w:szCs w:val="18"/>
        </w:rPr>
      </w:pPr>
      <w:r w:rsidRPr="008633A1">
        <w:rPr>
          <w:b/>
          <w:sz w:val="18"/>
          <w:szCs w:val="18"/>
        </w:rPr>
        <w:lastRenderedPageBreak/>
        <w:t>České vysoké učení technické v Praze</w:t>
      </w:r>
      <w:r w:rsidRPr="008633A1">
        <w:rPr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2016/17 nabízí ČVUT svým studentům 123 studijních programů a v rámci nich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464 studijn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ch obor</w:t>
      </w:r>
      <w:r w:rsidRPr="008633A1">
        <w:rPr>
          <w:rFonts w:cs="Technika Light"/>
          <w:sz w:val="18"/>
          <w:szCs w:val="18"/>
        </w:rPr>
        <w:t>ů</w:t>
      </w:r>
      <w:r w:rsidRPr="008633A1">
        <w:rPr>
          <w:sz w:val="18"/>
          <w:szCs w:val="18"/>
        </w:rPr>
        <w:t xml:space="preserve">. </w:t>
      </w:r>
      <w:r w:rsidRPr="008633A1">
        <w:rPr>
          <w:rFonts w:cs="Technika Light"/>
          <w:sz w:val="18"/>
          <w:szCs w:val="18"/>
        </w:rPr>
        <w:t>Č</w:t>
      </w:r>
      <w:r w:rsidRPr="008633A1">
        <w:rPr>
          <w:sz w:val="18"/>
          <w:szCs w:val="18"/>
        </w:rPr>
        <w:t>VUT vychov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>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 xml:space="preserve"> modern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odborn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ky, v</w:t>
      </w:r>
      <w:r w:rsidRPr="008633A1">
        <w:rPr>
          <w:rFonts w:cs="Technika Light"/>
          <w:sz w:val="18"/>
          <w:szCs w:val="18"/>
        </w:rPr>
        <w:t>ě</w:t>
      </w:r>
      <w:r w:rsidRPr="008633A1">
        <w:rPr>
          <w:sz w:val="18"/>
          <w:szCs w:val="18"/>
        </w:rPr>
        <w:t>dce a mana</w:t>
      </w:r>
      <w:r w:rsidRPr="008633A1">
        <w:rPr>
          <w:rFonts w:cs="Technika Light"/>
          <w:sz w:val="18"/>
          <w:szCs w:val="18"/>
        </w:rPr>
        <w:t>ž</w:t>
      </w:r>
      <w:r w:rsidRPr="008633A1">
        <w:rPr>
          <w:sz w:val="18"/>
          <w:szCs w:val="18"/>
        </w:rPr>
        <w:t>ery se znalost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ciz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ch jazyků, kteří jsou dynamičtí, flexibilní a dokáží se rychle přizpůsobovat požadavkům trhu. V roce 2016 se ČVUT umístilo v hodnocení QS World University Rankings, které zahrnuje více než 4200 světových univerzit, ve skupině univerzit na 501 – 550.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Civil and Structural Engineering"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bylo </w:t>
      </w:r>
      <w:r w:rsidRPr="008633A1">
        <w:rPr>
          <w:rFonts w:cs="Technika"/>
          <w:sz w:val="18"/>
          <w:szCs w:val="18"/>
        </w:rPr>
        <w:t>Č</w:t>
      </w:r>
      <w:r w:rsidRPr="008633A1">
        <w:rPr>
          <w:sz w:val="18"/>
          <w:szCs w:val="18"/>
        </w:rPr>
        <w:t xml:space="preserve">VUT hodnoceno na 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100.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 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Mechanical Engineering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Computer Science and Information Systems"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Electrical Engineering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Mathematics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na 201. - 250.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>Physics and Astronomy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- 200.</w:t>
      </w:r>
    </w:p>
    <w:p w:rsidR="00D108FD" w:rsidRPr="00DA5968" w:rsidRDefault="00D108FD" w:rsidP="0055014E">
      <w:pPr>
        <w:spacing w:after="165" w:line="240" w:lineRule="auto"/>
        <w:jc w:val="both"/>
        <w:rPr>
          <w:rFonts w:ascii="Technika Light" w:eastAsia="Arial" w:hAnsi="Technika Light" w:cs="Arial"/>
          <w:sz w:val="18"/>
          <w:szCs w:val="18"/>
        </w:rPr>
      </w:pPr>
      <w:r w:rsidRPr="00D108FD">
        <w:rPr>
          <w:rFonts w:ascii="Technika Light" w:eastAsia="Arial" w:hAnsi="Technika Light" w:cs="Arial"/>
          <w:b/>
          <w:sz w:val="18"/>
          <w:szCs w:val="18"/>
        </w:rPr>
        <w:t>Univerzitní centrum energeticky efektivních budov</w:t>
      </w:r>
      <w:r w:rsidRPr="00D108FD">
        <w:rPr>
          <w:rFonts w:ascii="Technika Light" w:eastAsia="Arial" w:hAnsi="Technika Light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</w:t>
      </w:r>
      <w:r w:rsidR="00F22F3C">
        <w:rPr>
          <w:rFonts w:ascii="Technika Light" w:eastAsia="Arial" w:hAnsi="Technika Light" w:cs="Arial"/>
          <w:sz w:val="18"/>
          <w:szCs w:val="18"/>
        </w:rPr>
        <w:t>e</w:t>
      </w:r>
      <w:bookmarkStart w:id="0" w:name="_GoBack"/>
      <w:bookmarkEnd w:id="0"/>
      <w:r w:rsidRPr="00D108FD">
        <w:rPr>
          <w:rFonts w:ascii="Technika Light" w:eastAsia="Arial" w:hAnsi="Technika Light" w:cs="Arial"/>
          <w:sz w:val="18"/>
          <w:szCs w:val="18"/>
        </w:rPr>
        <w:t xml:space="preserve"> na www.uceeb.cz</w:t>
      </w:r>
    </w:p>
    <w:p w:rsidR="0055014E" w:rsidRDefault="0055014E" w:rsidP="001C7E6B"/>
    <w:sectPr w:rsidR="0055014E" w:rsidSect="00C54F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763" w:right="851" w:bottom="2155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C5" w:rsidRDefault="008628C5" w:rsidP="003829EA">
      <w:pPr>
        <w:spacing w:line="240" w:lineRule="auto"/>
      </w:pPr>
      <w:r>
        <w:separator/>
      </w:r>
    </w:p>
  </w:endnote>
  <w:endnote w:type="continuationSeparator" w:id="0">
    <w:p w:rsidR="008628C5" w:rsidRDefault="008628C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9B" w:rsidRPr="00C54FE8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kontakt pro média | </w:t>
    </w:r>
    <w:r>
      <w:rPr>
        <w:caps/>
        <w:spacing w:val="8"/>
        <w:kern w:val="20"/>
        <w:sz w:val="14"/>
        <w:szCs w:val="14"/>
        <w:lang w:val="en-GB" w:bidi="ar-SA"/>
      </w:rPr>
      <w:t>Ing. Jana simčinová</w:t>
    </w:r>
  </w:p>
  <w:p w:rsidR="00373A9B" w:rsidRPr="00C54FE8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jana.simcinova</w:t>
    </w:r>
    <w:r w:rsidRPr="00C54FE8">
      <w:rPr>
        <w:caps/>
        <w:spacing w:val="8"/>
        <w:kern w:val="20"/>
        <w:sz w:val="14"/>
        <w:szCs w:val="14"/>
        <w:lang w:val="en-GB" w:bidi="ar-SA"/>
      </w:rPr>
      <w:t>@cvut.cz</w:t>
    </w:r>
  </w:p>
  <w:p w:rsidR="00373A9B" w:rsidRPr="004E4774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caps/>
        <w:spacing w:val="8"/>
        <w:kern w:val="20"/>
        <w:sz w:val="14"/>
        <w:szCs w:val="14"/>
        <w:lang w:val="en-GB" w:bidi="ar-SA"/>
      </w:rPr>
      <w:t> 605 924 801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UCEEB</w:t>
    </w:r>
  </w:p>
  <w:p w:rsidR="00373A9B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Třinecká 1024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373A9B">
      <w:rPr>
        <w:caps/>
        <w:spacing w:val="8"/>
        <w:kern w:val="20"/>
        <w:sz w:val="14"/>
        <w:szCs w:val="14"/>
        <w:lang w:val="en-GB" w:bidi="ar-SA"/>
      </w:rPr>
      <w:t>273 43 BUŠTĚHRAD</w:t>
    </w:r>
  </w:p>
  <w:p w:rsidR="006B599E" w:rsidRDefault="006B599E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A1314E" w:rsidRPr="00C54FE8" w:rsidRDefault="00A1314E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kontakt pro média | </w:t>
    </w:r>
    <w:r w:rsidR="004906EB">
      <w:rPr>
        <w:caps/>
        <w:spacing w:val="8"/>
        <w:kern w:val="20"/>
        <w:sz w:val="14"/>
        <w:szCs w:val="14"/>
        <w:lang w:val="en-GB" w:bidi="ar-SA"/>
      </w:rPr>
      <w:t>Ing. Jana simčinová</w:t>
    </w:r>
  </w:p>
  <w:p w:rsidR="00A1314E" w:rsidRPr="00C54FE8" w:rsidRDefault="004906EB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jana.simcinova</w:t>
    </w:r>
    <w:r w:rsidR="00A1314E" w:rsidRPr="00C54FE8">
      <w:rPr>
        <w:caps/>
        <w:spacing w:val="8"/>
        <w:kern w:val="20"/>
        <w:sz w:val="14"/>
        <w:szCs w:val="14"/>
        <w:lang w:val="en-GB" w:bidi="ar-SA"/>
      </w:rPr>
      <w:t>@cvut.cz</w:t>
    </w:r>
  </w:p>
  <w:p w:rsidR="00A1314E" w:rsidRPr="004E4774" w:rsidRDefault="00A1314E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+420</w:t>
    </w:r>
    <w:r w:rsidR="004906EB">
      <w:rPr>
        <w:caps/>
        <w:spacing w:val="8"/>
        <w:kern w:val="20"/>
        <w:sz w:val="14"/>
        <w:szCs w:val="14"/>
        <w:lang w:val="en-GB" w:bidi="ar-SA"/>
      </w:rPr>
      <w:t> 605 924 801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UCEEB</w:t>
    </w:r>
  </w:p>
  <w:p w:rsidR="00373A9B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Třinecká 1024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373A9B">
      <w:rPr>
        <w:caps/>
        <w:spacing w:val="8"/>
        <w:kern w:val="20"/>
        <w:sz w:val="14"/>
        <w:szCs w:val="14"/>
        <w:lang w:val="en-GB" w:bidi="ar-SA"/>
      </w:rPr>
      <w:t>273 43 BUŠTĚHRAD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AB85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C5" w:rsidRDefault="008628C5" w:rsidP="003829EA">
      <w:pPr>
        <w:spacing w:line="240" w:lineRule="auto"/>
      </w:pPr>
      <w:r>
        <w:separator/>
      </w:r>
    </w:p>
  </w:footnote>
  <w:footnote w:type="continuationSeparator" w:id="0">
    <w:p w:rsidR="008628C5" w:rsidRDefault="008628C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22F3C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22F3C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FF7AD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22F3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22F3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Default="004906EB" w:rsidP="003429B8">
    <w:pPr>
      <w:pStyle w:val="Zahlavi"/>
      <w:framePr w:w="5853" w:h="544" w:wrap="notBeside" w:x="5019" w:y="3233"/>
    </w:pPr>
    <w:r>
      <w:t>Univerzitní centrum energeticky efektivních budov</w:t>
    </w:r>
    <w:r w:rsidR="003429B8">
      <w:t> | </w:t>
    </w:r>
    <w:r>
      <w:t>marketingové oddělení</w:t>
    </w:r>
  </w:p>
  <w:p w:rsidR="006B599E" w:rsidRDefault="004906EB" w:rsidP="003429B8">
    <w:pPr>
      <w:pStyle w:val="Zahlavi"/>
      <w:framePr w:w="5853" w:h="544" w:wrap="notBeside" w:x="5019" w:y="3233"/>
    </w:pPr>
    <w:r>
      <w:t>Třinecká 1024, 273 43 buštěhrad</w:t>
    </w:r>
  </w:p>
  <w:p w:rsidR="003429B8" w:rsidRPr="001442C5" w:rsidRDefault="003429B8" w:rsidP="003429B8">
    <w:pPr>
      <w:pStyle w:val="Zahlavi"/>
      <w:framePr w:w="5853" w:h="544" w:wrap="notBeside" w:x="5019" w:y="3233"/>
    </w:pPr>
    <w:r>
      <w:t xml:space="preserve">V Praze </w:t>
    </w:r>
    <w:r w:rsidR="002553A2">
      <w:fldChar w:fldCharType="begin"/>
    </w:r>
    <w:r w:rsidR="002553A2">
      <w:instrText xml:space="preserve"> DATE  \@ "d. M. yyyy" </w:instrText>
    </w:r>
    <w:r w:rsidR="002553A2">
      <w:fldChar w:fldCharType="separate"/>
    </w:r>
    <w:r w:rsidR="00F22F3C">
      <w:rPr>
        <w:noProof/>
      </w:rPr>
      <w:t>14. 10. 2016</w:t>
    </w:r>
    <w:r w:rsidR="002553A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C"/>
    <w:rsid w:val="000403B8"/>
    <w:rsid w:val="00040442"/>
    <w:rsid w:val="00051265"/>
    <w:rsid w:val="000633F2"/>
    <w:rsid w:val="00071B94"/>
    <w:rsid w:val="00080867"/>
    <w:rsid w:val="0009567B"/>
    <w:rsid w:val="000A4D7F"/>
    <w:rsid w:val="000F3D93"/>
    <w:rsid w:val="00102630"/>
    <w:rsid w:val="001442C5"/>
    <w:rsid w:val="00157B3F"/>
    <w:rsid w:val="001766B4"/>
    <w:rsid w:val="001C330B"/>
    <w:rsid w:val="001C7E6B"/>
    <w:rsid w:val="001E3831"/>
    <w:rsid w:val="002553A2"/>
    <w:rsid w:val="00297CB8"/>
    <w:rsid w:val="002A4B9F"/>
    <w:rsid w:val="003027C5"/>
    <w:rsid w:val="003429B8"/>
    <w:rsid w:val="003559A8"/>
    <w:rsid w:val="00362CEF"/>
    <w:rsid w:val="003651C0"/>
    <w:rsid w:val="00373A9B"/>
    <w:rsid w:val="003829EA"/>
    <w:rsid w:val="00387CAD"/>
    <w:rsid w:val="003A768B"/>
    <w:rsid w:val="00400F34"/>
    <w:rsid w:val="00406215"/>
    <w:rsid w:val="00420F6D"/>
    <w:rsid w:val="00427F23"/>
    <w:rsid w:val="004345FB"/>
    <w:rsid w:val="004529D4"/>
    <w:rsid w:val="00456DB3"/>
    <w:rsid w:val="00475AD6"/>
    <w:rsid w:val="004764D3"/>
    <w:rsid w:val="004818F2"/>
    <w:rsid w:val="004906EB"/>
    <w:rsid w:val="004C34B5"/>
    <w:rsid w:val="004C66A4"/>
    <w:rsid w:val="004E4774"/>
    <w:rsid w:val="00521253"/>
    <w:rsid w:val="0055014E"/>
    <w:rsid w:val="00562ED1"/>
    <w:rsid w:val="00566042"/>
    <w:rsid w:val="00574099"/>
    <w:rsid w:val="005E759D"/>
    <w:rsid w:val="00636B99"/>
    <w:rsid w:val="00670B4B"/>
    <w:rsid w:val="006A5745"/>
    <w:rsid w:val="006B599E"/>
    <w:rsid w:val="007334A1"/>
    <w:rsid w:val="00790AFA"/>
    <w:rsid w:val="00794A38"/>
    <w:rsid w:val="007C4D63"/>
    <w:rsid w:val="007D57DB"/>
    <w:rsid w:val="007D5B59"/>
    <w:rsid w:val="008628C5"/>
    <w:rsid w:val="008D4B2A"/>
    <w:rsid w:val="008F522A"/>
    <w:rsid w:val="00925272"/>
    <w:rsid w:val="00941856"/>
    <w:rsid w:val="009523A8"/>
    <w:rsid w:val="009566D3"/>
    <w:rsid w:val="00997E73"/>
    <w:rsid w:val="009A04F0"/>
    <w:rsid w:val="009B3936"/>
    <w:rsid w:val="009F6BE8"/>
    <w:rsid w:val="00A059A7"/>
    <w:rsid w:val="00A1314E"/>
    <w:rsid w:val="00A26BD5"/>
    <w:rsid w:val="00A410A3"/>
    <w:rsid w:val="00A5019A"/>
    <w:rsid w:val="00A75551"/>
    <w:rsid w:val="00A8087B"/>
    <w:rsid w:val="00AE0870"/>
    <w:rsid w:val="00B16C87"/>
    <w:rsid w:val="00B51A0D"/>
    <w:rsid w:val="00BA7FD8"/>
    <w:rsid w:val="00BE3A4A"/>
    <w:rsid w:val="00BE3DFC"/>
    <w:rsid w:val="00C05447"/>
    <w:rsid w:val="00C426DC"/>
    <w:rsid w:val="00C54FE8"/>
    <w:rsid w:val="00C64C75"/>
    <w:rsid w:val="00C80849"/>
    <w:rsid w:val="00CE6DA7"/>
    <w:rsid w:val="00D108FD"/>
    <w:rsid w:val="00D33E16"/>
    <w:rsid w:val="00D631C8"/>
    <w:rsid w:val="00D81B9E"/>
    <w:rsid w:val="00DA704A"/>
    <w:rsid w:val="00DC662C"/>
    <w:rsid w:val="00E31A05"/>
    <w:rsid w:val="00E7485F"/>
    <w:rsid w:val="00E82A26"/>
    <w:rsid w:val="00E83E4F"/>
    <w:rsid w:val="00EB66DF"/>
    <w:rsid w:val="00EC31C7"/>
    <w:rsid w:val="00EC618B"/>
    <w:rsid w:val="00F067D8"/>
    <w:rsid w:val="00F11829"/>
    <w:rsid w:val="00F154F8"/>
    <w:rsid w:val="00F22F3C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1254F0-0233-4BE2-86CB-54CF63B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C54FE8"/>
    <w:pPr>
      <w:framePr w:w="1980" w:h="547" w:wrap="notBeside" w:vAnchor="page" w:hAnchor="page" w:x="802" w:y="3507"/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C2A86-DBCC-4DE6-A395-9E82CD6C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CBFC9-11E7-434D-8BF8-EF29D11A4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8F266-75C0-404F-A479-7B822D0F9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51B71-D922-447A-AA37-50BA7771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13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Simčinová</dc:creator>
  <cp:lastModifiedBy>Andrejka</cp:lastModifiedBy>
  <cp:revision>10</cp:revision>
  <cp:lastPrinted>2015-12-18T13:57:00Z</cp:lastPrinted>
  <dcterms:created xsi:type="dcterms:W3CDTF">2016-10-13T10:28:00Z</dcterms:created>
  <dcterms:modified xsi:type="dcterms:W3CDTF">2016-10-14T09:32:00Z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