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2474F" w14:textId="4E979B59" w:rsidR="003739AB" w:rsidRPr="00C61188" w:rsidRDefault="00EB4E43" w:rsidP="003739AB">
      <w:pPr>
        <w:pStyle w:val="Zahlavi"/>
      </w:pPr>
      <w:r>
        <w:t>Univerzitní centrum energeticky efektivních budov</w:t>
      </w:r>
      <w:r w:rsidRPr="00C61188">
        <w:t xml:space="preserve"> </w:t>
      </w:r>
      <w:r w:rsidR="003739AB" w:rsidRPr="00C61188">
        <w:t>| </w:t>
      </w:r>
      <w:r>
        <w:t>marketingové oddělení</w:t>
      </w:r>
    </w:p>
    <w:p w14:paraId="1F0CF173" w14:textId="77777777" w:rsidR="00EB4E43" w:rsidRDefault="00EB4E43" w:rsidP="00EB4E43">
      <w:pPr>
        <w:pStyle w:val="Zahlavi"/>
      </w:pPr>
      <w:r>
        <w:t>Třinecká 1024, 273 43 buštěhrad</w:t>
      </w:r>
    </w:p>
    <w:p w14:paraId="44AC7334" w14:textId="1F25C189" w:rsidR="003739AB" w:rsidRDefault="003739AB" w:rsidP="003739AB">
      <w:pPr>
        <w:pStyle w:val="Zahlavi"/>
      </w:pPr>
      <w:r w:rsidRPr="00C61188">
        <w:t xml:space="preserve">V Praze </w:t>
      </w:r>
      <w:r w:rsidR="00EB4E43">
        <w:t>2</w:t>
      </w:r>
      <w:r w:rsidR="00B91F47">
        <w:t>1. 1. 2019</w:t>
      </w:r>
    </w:p>
    <w:p w14:paraId="49EE6333" w14:textId="77777777" w:rsidR="00CD4DFA" w:rsidRDefault="00CD4DFA" w:rsidP="003739AB">
      <w:pPr>
        <w:pStyle w:val="Zahlavi"/>
      </w:pPr>
    </w:p>
    <w:p w14:paraId="63839454" w14:textId="43D8484C" w:rsidR="00CD4DFA" w:rsidRPr="00C54FE8" w:rsidRDefault="00CD4DFA" w:rsidP="00F51611">
      <w:pPr>
        <w:pStyle w:val="Zahlavi"/>
        <w:spacing w:line="276" w:lineRule="auto"/>
      </w:pPr>
      <w:r>
        <w:t>K</w:t>
      </w:r>
      <w:r w:rsidRPr="00C54FE8">
        <w:t>ontakt pro média</w:t>
      </w:r>
      <w:r w:rsidRPr="00C54FE8">
        <w:t> </w:t>
      </w:r>
      <w:r w:rsidRPr="00C54FE8">
        <w:t>|</w:t>
      </w:r>
      <w:r w:rsidRPr="00C54FE8">
        <w:t> </w:t>
      </w:r>
      <w:r w:rsidRPr="00CD4DFA">
        <w:t xml:space="preserve">Ing. Jana simčinová </w:t>
      </w:r>
    </w:p>
    <w:p w14:paraId="56F546A6" w14:textId="77777777" w:rsidR="00CD4DFA" w:rsidRPr="00CD4DFA" w:rsidRDefault="00CD4DFA" w:rsidP="00F51611">
      <w:pPr>
        <w:spacing w:line="276" w:lineRule="auto"/>
        <w:rPr>
          <w:b/>
          <w:caps/>
          <w:spacing w:val="8"/>
          <w:kern w:val="20"/>
          <w:szCs w:val="20"/>
          <w:lang w:val="en-GB" w:bidi="ar-SA"/>
        </w:rPr>
      </w:pPr>
      <w:r w:rsidRPr="00CD4DFA">
        <w:rPr>
          <w:b/>
          <w:caps/>
          <w:spacing w:val="8"/>
          <w:kern w:val="20"/>
          <w:szCs w:val="20"/>
          <w:lang w:val="en-GB" w:bidi="ar-SA"/>
        </w:rPr>
        <w:t>jana.simcinova@cvut.cz</w:t>
      </w:r>
    </w:p>
    <w:p w14:paraId="29B2C1F0" w14:textId="2F9D61E3" w:rsidR="00CD4DFA" w:rsidRPr="00CD4DFA" w:rsidRDefault="00CD4DFA" w:rsidP="00F51611">
      <w:pPr>
        <w:spacing w:line="276" w:lineRule="auto"/>
        <w:rPr>
          <w:b/>
          <w:caps/>
          <w:spacing w:val="8"/>
          <w:kern w:val="20"/>
          <w:szCs w:val="20"/>
          <w:lang w:val="en-GB" w:bidi="ar-SA"/>
        </w:rPr>
      </w:pPr>
      <w:r w:rsidRPr="00CD4DFA">
        <w:rPr>
          <w:b/>
          <w:caps/>
          <w:spacing w:val="8"/>
          <w:kern w:val="20"/>
          <w:szCs w:val="20"/>
          <w:lang w:val="en-GB" w:bidi="ar-SA"/>
        </w:rPr>
        <w:t>+420 605 924</w:t>
      </w:r>
      <w:r w:rsidRPr="00CD4DFA">
        <w:rPr>
          <w:rFonts w:ascii="Cambria" w:hAnsi="Cambria" w:cs="Cambria"/>
          <w:b/>
          <w:caps/>
          <w:spacing w:val="8"/>
          <w:kern w:val="20"/>
          <w:szCs w:val="20"/>
          <w:lang w:val="en-GB" w:bidi="ar-SA"/>
        </w:rPr>
        <w:t> </w:t>
      </w:r>
      <w:r w:rsidRPr="00CD4DFA">
        <w:rPr>
          <w:b/>
          <w:caps/>
          <w:spacing w:val="8"/>
          <w:kern w:val="20"/>
          <w:szCs w:val="20"/>
          <w:lang w:val="en-GB" w:bidi="ar-SA"/>
        </w:rPr>
        <w:t>801</w:t>
      </w:r>
    </w:p>
    <w:p w14:paraId="59606EB2" w14:textId="77777777" w:rsidR="00CD4DFA" w:rsidRDefault="00CD4DFA" w:rsidP="003739AB">
      <w:pPr>
        <w:pStyle w:val="Zahlavi"/>
      </w:pPr>
    </w:p>
    <w:p w14:paraId="6582DB66" w14:textId="77777777" w:rsidR="00EB4E43" w:rsidRDefault="00EB4E43" w:rsidP="00EB4E43">
      <w:pPr>
        <w:pStyle w:val="Nadpiszpravy"/>
        <w:jc w:val="both"/>
      </w:pPr>
      <w:r w:rsidRPr="007B4529">
        <w:t xml:space="preserve">IoT čidla vyvinutá v laboratořích </w:t>
      </w:r>
      <w:r>
        <w:t xml:space="preserve">Univerzitního centra energeticky efektivních budov ČVUT </w:t>
      </w:r>
      <w:r w:rsidRPr="007B4529">
        <w:t xml:space="preserve">prošla certifikací </w:t>
      </w:r>
    </w:p>
    <w:p w14:paraId="6827B663" w14:textId="77777777" w:rsidR="00EB4E43" w:rsidRDefault="00EB4E43" w:rsidP="00EB4E43">
      <w:pPr>
        <w:pStyle w:val="Nadpiszpravy"/>
      </w:pPr>
    </w:p>
    <w:p w14:paraId="568CE81A" w14:textId="1325854A" w:rsidR="00EB4E43" w:rsidRPr="00AD192D" w:rsidRDefault="00EB4E43" w:rsidP="00EB4E43">
      <w:pPr>
        <w:jc w:val="both"/>
        <w:rPr>
          <w:b/>
        </w:rPr>
      </w:pPr>
      <w:r w:rsidRPr="00AD192D">
        <w:rPr>
          <w:b/>
        </w:rPr>
        <w:t xml:space="preserve">Senzor kvality vnitřního prostředí IAQ 03 a zařízení WMR 04 pro dálkový odečet vodoměrů, která v buštěhradských laboratořích vyvinuli odborníci z Univerzitního centra energeticky efektivních budov ČVUT, úspěšně certifikovaly </w:t>
      </w:r>
      <w:r>
        <w:rPr>
          <w:b/>
        </w:rPr>
        <w:t>12</w:t>
      </w:r>
      <w:r w:rsidRPr="00AD192D">
        <w:rPr>
          <w:b/>
        </w:rPr>
        <w:t xml:space="preserve">. </w:t>
      </w:r>
      <w:r>
        <w:rPr>
          <w:b/>
        </w:rPr>
        <w:t>prosince</w:t>
      </w:r>
      <w:r w:rsidRPr="00AD192D">
        <w:rPr>
          <w:b/>
        </w:rPr>
        <w:t xml:space="preserve"> 201</w:t>
      </w:r>
      <w:r>
        <w:rPr>
          <w:b/>
        </w:rPr>
        <w:t>8</w:t>
      </w:r>
      <w:r w:rsidRPr="00AD192D">
        <w:rPr>
          <w:b/>
        </w:rPr>
        <w:t xml:space="preserve"> České Radiokomunikace pro provoz v síti </w:t>
      </w:r>
      <w:proofErr w:type="spellStart"/>
      <w:r w:rsidRPr="00AD192D">
        <w:rPr>
          <w:b/>
        </w:rPr>
        <w:t>LoRaWAN</w:t>
      </w:r>
      <w:proofErr w:type="spellEnd"/>
      <w:r w:rsidRPr="00AD192D">
        <w:rPr>
          <w:b/>
        </w:rPr>
        <w:t>. Výhodou s</w:t>
      </w:r>
      <w:r>
        <w:rPr>
          <w:b/>
        </w:rPr>
        <w:t>enzoru IAQ 03 je, že jako jedno z mála</w:t>
      </w:r>
      <w:r w:rsidRPr="00AD192D">
        <w:rPr>
          <w:b/>
        </w:rPr>
        <w:t xml:space="preserve"> zařízení monitoruje několik parametrů vnitřního prostředí současně. V současnosti se čidla využívají pro monitoring vnitřního prostředí základních škol v Kladně. </w:t>
      </w:r>
    </w:p>
    <w:p w14:paraId="76B11C1D" w14:textId="77777777" w:rsidR="00EB4E43" w:rsidRDefault="00EB4E43" w:rsidP="00EB4E43">
      <w:pPr>
        <w:jc w:val="both"/>
      </w:pPr>
    </w:p>
    <w:p w14:paraId="0390693E" w14:textId="77777777" w:rsidR="00EB4E43" w:rsidRDefault="00EB4E43" w:rsidP="00EB4E43">
      <w:pPr>
        <w:jc w:val="both"/>
      </w:pPr>
      <w:r>
        <w:t xml:space="preserve">Pracovníci radiokomunikací prověřovali zejména komunikační parametry přístrojů. Certifikát, který ČVUT </w:t>
      </w:r>
      <w:r w:rsidRPr="00AD192D">
        <w:t xml:space="preserve">UCEEB v polovině prosince </w:t>
      </w:r>
      <w:r>
        <w:t>získalo, má neomezenou platnost. Čidla IAQ 03 a WMR 04 se po úspěšném procesu certifikace nyní dostanou do prodejní sítě Českých Radiokomunikací.</w:t>
      </w:r>
    </w:p>
    <w:p w14:paraId="562227CB" w14:textId="77777777" w:rsidR="00EB4E43" w:rsidRDefault="00EB4E43" w:rsidP="00EB4E43">
      <w:pPr>
        <w:jc w:val="both"/>
      </w:pPr>
    </w:p>
    <w:p w14:paraId="775D8064" w14:textId="1BEF98BE" w:rsidR="00EB4E43" w:rsidRDefault="00EB4E43" w:rsidP="00EB4E43">
      <w:pPr>
        <w:jc w:val="both"/>
      </w:pPr>
      <w:r>
        <w:t xml:space="preserve">Senzor IAQ 03 měří několik veličin najednou. Kromě koncentrace oxidu uhličitého kontinuálně zaznamenává teplotu, vlhkost, tlak nebo koncentraci organických těkavých látek. Ve </w:t>
      </w:r>
      <w:r w:rsidR="00E86BC5">
        <w:t>v</w:t>
      </w:r>
      <w:r>
        <w:t xml:space="preserve">erzi IAQ 03 je k dispozici navíc veličina koncentrace pevných částic ve třídách PM2.5 a PM10. Ve vývoji je rozšíření o senzor osvitu a verze s LCD displejem. Získaná data senzory posílají do </w:t>
      </w:r>
      <w:proofErr w:type="spellStart"/>
      <w:r>
        <w:t>cloudového</w:t>
      </w:r>
      <w:proofErr w:type="spellEnd"/>
      <w:r>
        <w:t xml:space="preserve"> úložiště a dokáží je komunikovat přes </w:t>
      </w:r>
      <w:proofErr w:type="spellStart"/>
      <w:r>
        <w:t>WiFi</w:t>
      </w:r>
      <w:proofErr w:type="spellEnd"/>
      <w:r>
        <w:t xml:space="preserve"> a bezdrátovou síť </w:t>
      </w:r>
      <w:proofErr w:type="spellStart"/>
      <w:r>
        <w:t>LoRaWAN</w:t>
      </w:r>
      <w:proofErr w:type="spellEnd"/>
      <w:r>
        <w:t>. Díky možnosti využívat bezdrátové i drátové komunikační technologie může přístroj pracovat v různých režimech provozu.</w:t>
      </w:r>
    </w:p>
    <w:p w14:paraId="591380E0" w14:textId="77777777" w:rsidR="00EB4E43" w:rsidRPr="00AD192D" w:rsidRDefault="00EB4E43" w:rsidP="00EB4E43">
      <w:pPr>
        <w:jc w:val="both"/>
        <w:rPr>
          <w:lang w:val="en-GB"/>
        </w:rPr>
      </w:pPr>
    </w:p>
    <w:p w14:paraId="5C43F7A7" w14:textId="51C37D73" w:rsidR="00EB4E43" w:rsidRDefault="00EB4E43" w:rsidP="00EB4E43">
      <w:pPr>
        <w:jc w:val="both"/>
      </w:pPr>
      <w:r>
        <w:t>Odborníci univerzitního centra při vývoji čidla IAQ použili jedny z nejpřesnějších digitální</w:t>
      </w:r>
      <w:r w:rsidR="00E86BC5">
        <w:t>ch</w:t>
      </w:r>
      <w:r>
        <w:t xml:space="preserve"> komponent pro měření teploty a vlhkosti, které jsou v současnosti na trhu. Koncentraci oxidu uhličitého monitoruje optický infračervený senzor odolný proti dlouhodobému driftu hodnot. </w:t>
      </w:r>
    </w:p>
    <w:p w14:paraId="3680992F" w14:textId="77777777" w:rsidR="00EB4E43" w:rsidRDefault="00EB4E43" w:rsidP="00EB4E43">
      <w:pPr>
        <w:jc w:val="both"/>
      </w:pPr>
    </w:p>
    <w:p w14:paraId="7E817FE7" w14:textId="77777777" w:rsidR="00EB4E43" w:rsidRDefault="00EB4E43" w:rsidP="00EB4E43">
      <w:pPr>
        <w:jc w:val="both"/>
      </w:pPr>
      <w:r>
        <w:t xml:space="preserve">„Inteligentní čidla je možné propojit do systému automatizace budovy, použít ho jako přímou indikaci stavu vnitřního prostředí, nebo s ním napřímo automaticky ovládat vzduchotechnickou jednotku. Lze tak efektivně dosáhnout nejen energetických úspor, ale také zajistit zdravé prostředí v interiéru,“ dodává Jan Včelák, vedoucí oddělení Monitoringu a řízení inteligentních budov ČVUT UCEEB. </w:t>
      </w:r>
    </w:p>
    <w:p w14:paraId="4914CD55" w14:textId="77777777" w:rsidR="00EB4E43" w:rsidRDefault="00EB4E43" w:rsidP="00EB4E43">
      <w:pPr>
        <w:jc w:val="both"/>
      </w:pPr>
    </w:p>
    <w:p w14:paraId="3E161F01" w14:textId="77777777" w:rsidR="00EB4E43" w:rsidRDefault="00EB4E43" w:rsidP="00EB4E43">
      <w:pPr>
        <w:jc w:val="both"/>
      </w:pPr>
      <w:r>
        <w:t xml:space="preserve">Zařízení WMR určené pro dálkový odečet vodoměrů se instaluje jako dodatečné zařízení na stávající vodoměry. Díky výměnným plastovým modulům uchycení je čidlo kompatibilní s většinou instalovaných vodoměrů. Jeho velkou výhodou je, že není potřeba nijak zasahovat do stávajících rozvodů a není ani potřeba zásuvka na 230 V. Zařízení je připravené pracovat na baterii minimálně 12 let. Tím přesahuje interval pro výměnu vodoměru dvojnásobně. Síť </w:t>
      </w:r>
      <w:proofErr w:type="spellStart"/>
      <w:r>
        <w:t>LoRaWAN</w:t>
      </w:r>
      <w:proofErr w:type="spellEnd"/>
      <w:r>
        <w:t xml:space="preserve"> je dostupná i v odlehlých šachtách a sklepech. Krom údajů o spotřebě vody zařízení upozorní i na nadměrný či nestandartní odběr a zpětný průtok. </w:t>
      </w:r>
    </w:p>
    <w:p w14:paraId="71B03D21" w14:textId="77777777" w:rsidR="00EB4E43" w:rsidRDefault="00EB4E43" w:rsidP="00EB4E43">
      <w:pPr>
        <w:jc w:val="both"/>
      </w:pPr>
    </w:p>
    <w:p w14:paraId="11261E0B" w14:textId="77777777" w:rsidR="00EB4E43" w:rsidRDefault="00EB4E43" w:rsidP="00EB4E43">
      <w:pPr>
        <w:jc w:val="both"/>
      </w:pPr>
      <w:r>
        <w:t>Detektory najdou využití v rodinných domech i veřejných budovách, které kladou důraz na energetickou úspornost, bezpečnost a kvalitu interiérového vzduchu. Město Kladno ve spolupráci s odborníky z UCEEB začalo testovat certifikované senzory v několika školách. V budoucnu by mohly najít uplatnění v konceptu Smart city, který využívá moderní komunikační, digitální a informační technologie pro zvýšení kvality života ve městech.</w:t>
      </w:r>
    </w:p>
    <w:p w14:paraId="7E5B33A1" w14:textId="77777777" w:rsidR="00EB4E43" w:rsidRDefault="00EB4E43" w:rsidP="00EB4E43">
      <w:pPr>
        <w:jc w:val="both"/>
      </w:pPr>
    </w:p>
    <w:p w14:paraId="0BD8AB11" w14:textId="77777777" w:rsidR="00EB4E43" w:rsidRDefault="00EB4E43" w:rsidP="00EB4E43">
      <w:pPr>
        <w:spacing w:after="165" w:line="240" w:lineRule="auto"/>
        <w:jc w:val="both"/>
        <w:rPr>
          <w:sz w:val="18"/>
          <w:szCs w:val="18"/>
        </w:rPr>
      </w:pPr>
      <w:r w:rsidRPr="008633A1">
        <w:rPr>
          <w:b/>
          <w:sz w:val="18"/>
          <w:szCs w:val="18"/>
        </w:rPr>
        <w:t>České vysoké učení technické v Praze</w:t>
      </w:r>
      <w:r w:rsidRPr="008633A1">
        <w:rPr>
          <w:sz w:val="18"/>
          <w:szCs w:val="18"/>
        </w:rPr>
        <w:t xml:space="preserve"> patří k největším a nejstarším technickým vysokým školám v Evropě. V současné době má ČVUT osm fakult (stavební, strojní, elektrotechnická, jaderná a fyzikálně inženýrská, architektury, dopravní, biomedicínského inženýrství, informačních technologií) a studuje na něm přes 21 000 studentů. Pro akademický rok 2016/17 nabízí ČVUT svým studentům 123 studijních programů a v rámci nich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sz w:val="18"/>
          <w:szCs w:val="18"/>
        </w:rPr>
        <w:t>464 studijn</w:t>
      </w:r>
      <w:r w:rsidRPr="008633A1">
        <w:rPr>
          <w:rFonts w:cs="Technika Light"/>
          <w:sz w:val="18"/>
          <w:szCs w:val="18"/>
        </w:rPr>
        <w:t>í</w:t>
      </w:r>
      <w:r w:rsidRPr="008633A1">
        <w:rPr>
          <w:sz w:val="18"/>
          <w:szCs w:val="18"/>
        </w:rPr>
        <w:t>ch obor</w:t>
      </w:r>
      <w:r w:rsidRPr="008633A1">
        <w:rPr>
          <w:rFonts w:cs="Technika Light"/>
          <w:sz w:val="18"/>
          <w:szCs w:val="18"/>
        </w:rPr>
        <w:t>ů</w:t>
      </w:r>
      <w:r w:rsidRPr="008633A1">
        <w:rPr>
          <w:sz w:val="18"/>
          <w:szCs w:val="18"/>
        </w:rPr>
        <w:t xml:space="preserve">. </w:t>
      </w:r>
      <w:r w:rsidRPr="008633A1">
        <w:rPr>
          <w:rFonts w:cs="Technika Light"/>
          <w:sz w:val="18"/>
          <w:szCs w:val="18"/>
        </w:rPr>
        <w:t>Č</w:t>
      </w:r>
      <w:r w:rsidRPr="008633A1">
        <w:rPr>
          <w:sz w:val="18"/>
          <w:szCs w:val="18"/>
        </w:rPr>
        <w:t>VUT vychov</w:t>
      </w:r>
      <w:r w:rsidRPr="008633A1">
        <w:rPr>
          <w:rFonts w:cs="Technika Light"/>
          <w:sz w:val="18"/>
          <w:szCs w:val="18"/>
        </w:rPr>
        <w:t>á</w:t>
      </w:r>
      <w:r w:rsidRPr="008633A1">
        <w:rPr>
          <w:sz w:val="18"/>
          <w:szCs w:val="18"/>
        </w:rPr>
        <w:t>v</w:t>
      </w:r>
      <w:r w:rsidRPr="008633A1">
        <w:rPr>
          <w:rFonts w:cs="Technika Light"/>
          <w:sz w:val="18"/>
          <w:szCs w:val="18"/>
        </w:rPr>
        <w:t>á</w:t>
      </w:r>
      <w:r w:rsidRPr="008633A1">
        <w:rPr>
          <w:sz w:val="18"/>
          <w:szCs w:val="18"/>
        </w:rPr>
        <w:t xml:space="preserve"> modern</w:t>
      </w:r>
      <w:r w:rsidRPr="008633A1">
        <w:rPr>
          <w:rFonts w:cs="Technika Light"/>
          <w:sz w:val="18"/>
          <w:szCs w:val="18"/>
        </w:rPr>
        <w:t>í</w:t>
      </w:r>
      <w:r w:rsidRPr="008633A1">
        <w:rPr>
          <w:sz w:val="18"/>
          <w:szCs w:val="18"/>
        </w:rPr>
        <w:t xml:space="preserve"> odborn</w:t>
      </w:r>
      <w:r w:rsidRPr="008633A1">
        <w:rPr>
          <w:rFonts w:cs="Technika Light"/>
          <w:sz w:val="18"/>
          <w:szCs w:val="18"/>
        </w:rPr>
        <w:t>í</w:t>
      </w:r>
      <w:r w:rsidRPr="008633A1">
        <w:rPr>
          <w:sz w:val="18"/>
          <w:szCs w:val="18"/>
        </w:rPr>
        <w:t>ky, v</w:t>
      </w:r>
      <w:r w:rsidRPr="008633A1">
        <w:rPr>
          <w:rFonts w:cs="Technika Light"/>
          <w:sz w:val="18"/>
          <w:szCs w:val="18"/>
        </w:rPr>
        <w:t>ě</w:t>
      </w:r>
      <w:r w:rsidRPr="008633A1">
        <w:rPr>
          <w:sz w:val="18"/>
          <w:szCs w:val="18"/>
        </w:rPr>
        <w:t>dce a mana</w:t>
      </w:r>
      <w:r w:rsidRPr="008633A1">
        <w:rPr>
          <w:rFonts w:cs="Technika Light"/>
          <w:sz w:val="18"/>
          <w:szCs w:val="18"/>
        </w:rPr>
        <w:t>ž</w:t>
      </w:r>
      <w:r w:rsidRPr="008633A1">
        <w:rPr>
          <w:sz w:val="18"/>
          <w:szCs w:val="18"/>
        </w:rPr>
        <w:t>ery se znalost</w:t>
      </w:r>
      <w:r w:rsidRPr="008633A1">
        <w:rPr>
          <w:rFonts w:cs="Technika Light"/>
          <w:sz w:val="18"/>
          <w:szCs w:val="18"/>
        </w:rPr>
        <w:t>í</w:t>
      </w:r>
      <w:r w:rsidRPr="008633A1">
        <w:rPr>
          <w:sz w:val="18"/>
          <w:szCs w:val="18"/>
        </w:rPr>
        <w:t xml:space="preserve"> ciz</w:t>
      </w:r>
      <w:r w:rsidRPr="008633A1">
        <w:rPr>
          <w:rFonts w:cs="Technika Light"/>
          <w:sz w:val="18"/>
          <w:szCs w:val="18"/>
        </w:rPr>
        <w:t>í</w:t>
      </w:r>
      <w:r w:rsidRPr="008633A1">
        <w:rPr>
          <w:sz w:val="18"/>
          <w:szCs w:val="18"/>
        </w:rPr>
        <w:t xml:space="preserve">ch jazyků, kteří jsou dynamičtí, flexibilní a dokáží se rychle přizpůsobovat požadavkům trhu. V roce 2016 se ČVUT umístilo v hodnocení QS </w:t>
      </w:r>
      <w:proofErr w:type="spellStart"/>
      <w:r w:rsidRPr="008633A1">
        <w:rPr>
          <w:sz w:val="18"/>
          <w:szCs w:val="18"/>
        </w:rPr>
        <w:t>World</w:t>
      </w:r>
      <w:proofErr w:type="spellEnd"/>
      <w:r w:rsidRPr="008633A1">
        <w:rPr>
          <w:sz w:val="18"/>
          <w:szCs w:val="18"/>
        </w:rPr>
        <w:t xml:space="preserve"> University </w:t>
      </w:r>
      <w:proofErr w:type="spellStart"/>
      <w:r w:rsidRPr="008633A1">
        <w:rPr>
          <w:sz w:val="18"/>
          <w:szCs w:val="18"/>
        </w:rPr>
        <w:t>Rankings</w:t>
      </w:r>
      <w:proofErr w:type="spellEnd"/>
      <w:r w:rsidRPr="008633A1">
        <w:rPr>
          <w:sz w:val="18"/>
          <w:szCs w:val="18"/>
        </w:rPr>
        <w:t>, které zahrnuje více než 4200 světových univerzit, ve skupině univerzit na 501 – 550. místě. V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sz w:val="18"/>
          <w:szCs w:val="18"/>
        </w:rPr>
        <w:t xml:space="preserve">oblasti </w:t>
      </w:r>
      <w:r w:rsidRPr="008633A1">
        <w:rPr>
          <w:rFonts w:cs="Technika"/>
          <w:sz w:val="18"/>
          <w:szCs w:val="18"/>
        </w:rPr>
        <w:t>„</w:t>
      </w:r>
      <w:r w:rsidRPr="008633A1">
        <w:rPr>
          <w:sz w:val="18"/>
          <w:szCs w:val="18"/>
        </w:rPr>
        <w:t xml:space="preserve">Civil and </w:t>
      </w:r>
      <w:proofErr w:type="spellStart"/>
      <w:r w:rsidRPr="008633A1">
        <w:rPr>
          <w:sz w:val="18"/>
          <w:szCs w:val="18"/>
        </w:rPr>
        <w:t>Structural</w:t>
      </w:r>
      <w:proofErr w:type="spellEnd"/>
      <w:r w:rsidRPr="008633A1">
        <w:rPr>
          <w:sz w:val="18"/>
          <w:szCs w:val="18"/>
        </w:rPr>
        <w:t xml:space="preserve"> </w:t>
      </w:r>
      <w:proofErr w:type="spellStart"/>
      <w:r w:rsidRPr="008633A1">
        <w:rPr>
          <w:sz w:val="18"/>
          <w:szCs w:val="18"/>
        </w:rPr>
        <w:t>Engineering</w:t>
      </w:r>
      <w:proofErr w:type="spellEnd"/>
      <w:r w:rsidRPr="008633A1">
        <w:rPr>
          <w:sz w:val="18"/>
          <w:szCs w:val="18"/>
        </w:rPr>
        <w:t>"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sz w:val="18"/>
          <w:szCs w:val="18"/>
        </w:rPr>
        <w:t xml:space="preserve">bylo </w:t>
      </w:r>
      <w:r w:rsidRPr="008633A1">
        <w:rPr>
          <w:rFonts w:cs="Technika"/>
          <w:sz w:val="18"/>
          <w:szCs w:val="18"/>
        </w:rPr>
        <w:t>Č</w:t>
      </w:r>
      <w:r w:rsidRPr="008633A1">
        <w:rPr>
          <w:sz w:val="18"/>
          <w:szCs w:val="18"/>
        </w:rPr>
        <w:t xml:space="preserve">VUT hodnoceno na 51. </w:t>
      </w:r>
      <w:r w:rsidRPr="008633A1">
        <w:rPr>
          <w:rFonts w:cs="Technika"/>
          <w:sz w:val="18"/>
          <w:szCs w:val="18"/>
        </w:rPr>
        <w:t>–</w:t>
      </w:r>
      <w:r w:rsidRPr="008633A1">
        <w:rPr>
          <w:sz w:val="18"/>
          <w:szCs w:val="18"/>
        </w:rPr>
        <w:t xml:space="preserve"> 100. m</w:t>
      </w:r>
      <w:r w:rsidRPr="008633A1">
        <w:rPr>
          <w:rFonts w:cs="Technika"/>
          <w:sz w:val="18"/>
          <w:szCs w:val="18"/>
        </w:rPr>
        <w:t>í</w:t>
      </w:r>
      <w:r w:rsidRPr="008633A1">
        <w:rPr>
          <w:sz w:val="18"/>
          <w:szCs w:val="18"/>
        </w:rPr>
        <w:t>st</w:t>
      </w:r>
      <w:r w:rsidRPr="008633A1">
        <w:rPr>
          <w:rFonts w:cs="Technika"/>
          <w:sz w:val="18"/>
          <w:szCs w:val="18"/>
        </w:rPr>
        <w:t>ě</w:t>
      </w:r>
      <w:r w:rsidRPr="008633A1">
        <w:rPr>
          <w:sz w:val="18"/>
          <w:szCs w:val="18"/>
        </w:rPr>
        <w:t>, v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sz w:val="18"/>
          <w:szCs w:val="18"/>
        </w:rPr>
        <w:t>oblasti</w:t>
      </w:r>
      <w:r w:rsidRPr="008633A1">
        <w:rPr>
          <w:rFonts w:ascii="Cambria" w:hAnsi="Cambria" w:cs="Cambria"/>
          <w:sz w:val="18"/>
          <w:szCs w:val="18"/>
        </w:rPr>
        <w:t>  </w:t>
      </w:r>
      <w:r w:rsidRPr="008633A1">
        <w:rPr>
          <w:rFonts w:cs="Technika"/>
          <w:sz w:val="18"/>
          <w:szCs w:val="18"/>
        </w:rPr>
        <w:t>„</w:t>
      </w:r>
      <w:proofErr w:type="spellStart"/>
      <w:r w:rsidRPr="008633A1">
        <w:rPr>
          <w:sz w:val="18"/>
          <w:szCs w:val="18"/>
        </w:rPr>
        <w:t>Mechanical</w:t>
      </w:r>
      <w:proofErr w:type="spellEnd"/>
      <w:r w:rsidRPr="008633A1">
        <w:rPr>
          <w:sz w:val="18"/>
          <w:szCs w:val="18"/>
        </w:rPr>
        <w:t xml:space="preserve"> </w:t>
      </w:r>
      <w:proofErr w:type="spellStart"/>
      <w:r w:rsidRPr="008633A1">
        <w:rPr>
          <w:sz w:val="18"/>
          <w:szCs w:val="18"/>
        </w:rPr>
        <w:t>Engineering</w:t>
      </w:r>
      <w:proofErr w:type="spellEnd"/>
      <w:r w:rsidRPr="008633A1">
        <w:rPr>
          <w:rFonts w:cs="Technika"/>
          <w:sz w:val="18"/>
          <w:szCs w:val="18"/>
        </w:rPr>
        <w:t>“</w:t>
      </w:r>
      <w:r w:rsidRPr="008633A1">
        <w:rPr>
          <w:sz w:val="18"/>
          <w:szCs w:val="18"/>
        </w:rPr>
        <w:t xml:space="preserve"> na 151. </w:t>
      </w:r>
      <w:r w:rsidRPr="008633A1">
        <w:rPr>
          <w:rFonts w:cs="Technika"/>
          <w:sz w:val="18"/>
          <w:szCs w:val="18"/>
        </w:rPr>
        <w:t>–</w:t>
      </w:r>
      <w:r w:rsidRPr="008633A1">
        <w:rPr>
          <w:sz w:val="18"/>
          <w:szCs w:val="18"/>
        </w:rPr>
        <w:t xml:space="preserve"> 200. m</w:t>
      </w:r>
      <w:r w:rsidRPr="008633A1">
        <w:rPr>
          <w:rFonts w:cs="Technika"/>
          <w:sz w:val="18"/>
          <w:szCs w:val="18"/>
        </w:rPr>
        <w:t>í</w:t>
      </w:r>
      <w:r w:rsidRPr="008633A1">
        <w:rPr>
          <w:sz w:val="18"/>
          <w:szCs w:val="18"/>
        </w:rPr>
        <w:t>st</w:t>
      </w:r>
      <w:r w:rsidRPr="008633A1">
        <w:rPr>
          <w:rFonts w:cs="Technika"/>
          <w:sz w:val="18"/>
          <w:szCs w:val="18"/>
        </w:rPr>
        <w:t>ě</w:t>
      </w:r>
      <w:r w:rsidRPr="008633A1">
        <w:rPr>
          <w:sz w:val="18"/>
          <w:szCs w:val="18"/>
        </w:rPr>
        <w:t>, v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sz w:val="18"/>
          <w:szCs w:val="18"/>
        </w:rPr>
        <w:t xml:space="preserve">oblasti 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rFonts w:cs="Technika"/>
          <w:sz w:val="18"/>
          <w:szCs w:val="18"/>
        </w:rPr>
        <w:t>„</w:t>
      </w:r>
      <w:proofErr w:type="spellStart"/>
      <w:r w:rsidRPr="008633A1">
        <w:rPr>
          <w:sz w:val="18"/>
          <w:szCs w:val="18"/>
        </w:rPr>
        <w:t>Computer</w:t>
      </w:r>
      <w:proofErr w:type="spellEnd"/>
      <w:r w:rsidRPr="008633A1">
        <w:rPr>
          <w:sz w:val="18"/>
          <w:szCs w:val="18"/>
        </w:rPr>
        <w:t xml:space="preserve"> Science and </w:t>
      </w:r>
      <w:proofErr w:type="spellStart"/>
      <w:r w:rsidRPr="008633A1">
        <w:rPr>
          <w:sz w:val="18"/>
          <w:szCs w:val="18"/>
        </w:rPr>
        <w:t>Information</w:t>
      </w:r>
      <w:proofErr w:type="spellEnd"/>
      <w:r w:rsidRPr="008633A1">
        <w:rPr>
          <w:sz w:val="18"/>
          <w:szCs w:val="18"/>
        </w:rPr>
        <w:t xml:space="preserve"> Systems"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sz w:val="18"/>
          <w:szCs w:val="18"/>
        </w:rPr>
        <w:t xml:space="preserve">a </w:t>
      </w:r>
      <w:r w:rsidRPr="008633A1">
        <w:rPr>
          <w:rFonts w:cs="Technika"/>
          <w:sz w:val="18"/>
          <w:szCs w:val="18"/>
        </w:rPr>
        <w:t>„</w:t>
      </w:r>
      <w:proofErr w:type="spellStart"/>
      <w:r w:rsidRPr="008633A1">
        <w:rPr>
          <w:sz w:val="18"/>
          <w:szCs w:val="18"/>
        </w:rPr>
        <w:t>Electrical</w:t>
      </w:r>
      <w:proofErr w:type="spellEnd"/>
      <w:r w:rsidRPr="008633A1">
        <w:rPr>
          <w:sz w:val="18"/>
          <w:szCs w:val="18"/>
        </w:rPr>
        <w:t xml:space="preserve"> </w:t>
      </w:r>
      <w:proofErr w:type="spellStart"/>
      <w:r w:rsidRPr="008633A1">
        <w:rPr>
          <w:sz w:val="18"/>
          <w:szCs w:val="18"/>
        </w:rPr>
        <w:t>Engineering</w:t>
      </w:r>
      <w:proofErr w:type="spellEnd"/>
      <w:r w:rsidRPr="008633A1">
        <w:rPr>
          <w:rFonts w:cs="Technika"/>
          <w:sz w:val="18"/>
          <w:szCs w:val="18"/>
        </w:rPr>
        <w:t>“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sz w:val="18"/>
          <w:szCs w:val="18"/>
        </w:rPr>
        <w:t xml:space="preserve">na 151. </w:t>
      </w:r>
      <w:r w:rsidRPr="008633A1">
        <w:rPr>
          <w:rFonts w:cs="Technika"/>
          <w:sz w:val="18"/>
          <w:szCs w:val="18"/>
        </w:rPr>
        <w:t>–</w:t>
      </w:r>
      <w:r w:rsidRPr="008633A1">
        <w:rPr>
          <w:sz w:val="18"/>
          <w:szCs w:val="18"/>
        </w:rPr>
        <w:t xml:space="preserve"> 200. místě. V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sz w:val="18"/>
          <w:szCs w:val="18"/>
        </w:rPr>
        <w:t>oblasti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rFonts w:cs="Technika"/>
          <w:sz w:val="18"/>
          <w:szCs w:val="18"/>
        </w:rPr>
        <w:t>„</w:t>
      </w:r>
      <w:proofErr w:type="spellStart"/>
      <w:r w:rsidRPr="008633A1">
        <w:rPr>
          <w:sz w:val="18"/>
          <w:szCs w:val="18"/>
        </w:rPr>
        <w:t>Mathematics</w:t>
      </w:r>
      <w:proofErr w:type="spellEnd"/>
      <w:r w:rsidRPr="008633A1">
        <w:rPr>
          <w:rFonts w:cs="Technika"/>
          <w:sz w:val="18"/>
          <w:szCs w:val="18"/>
        </w:rPr>
        <w:t>“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sz w:val="18"/>
          <w:szCs w:val="18"/>
        </w:rPr>
        <w:t>na 201. - 250. m</w:t>
      </w:r>
      <w:r w:rsidRPr="008633A1">
        <w:rPr>
          <w:rFonts w:cs="Technika"/>
          <w:sz w:val="18"/>
          <w:szCs w:val="18"/>
        </w:rPr>
        <w:t>í</w:t>
      </w:r>
      <w:r w:rsidRPr="008633A1">
        <w:rPr>
          <w:sz w:val="18"/>
          <w:szCs w:val="18"/>
        </w:rPr>
        <w:t>st</w:t>
      </w:r>
      <w:r w:rsidRPr="008633A1">
        <w:rPr>
          <w:rFonts w:cs="Technika"/>
          <w:sz w:val="18"/>
          <w:szCs w:val="18"/>
        </w:rPr>
        <w:t>ě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sz w:val="18"/>
          <w:szCs w:val="18"/>
        </w:rPr>
        <w:t xml:space="preserve">a </w:t>
      </w:r>
      <w:r w:rsidRPr="008633A1">
        <w:rPr>
          <w:rFonts w:cs="Technika"/>
          <w:sz w:val="18"/>
          <w:szCs w:val="18"/>
        </w:rPr>
        <w:t>„</w:t>
      </w:r>
      <w:proofErr w:type="spellStart"/>
      <w:r w:rsidRPr="008633A1">
        <w:rPr>
          <w:sz w:val="18"/>
          <w:szCs w:val="18"/>
        </w:rPr>
        <w:t>Physics</w:t>
      </w:r>
      <w:proofErr w:type="spellEnd"/>
      <w:r w:rsidRPr="008633A1">
        <w:rPr>
          <w:sz w:val="18"/>
          <w:szCs w:val="18"/>
        </w:rPr>
        <w:t xml:space="preserve"> and Astronomy</w:t>
      </w:r>
      <w:r w:rsidRPr="008633A1">
        <w:rPr>
          <w:rFonts w:cs="Technika"/>
          <w:sz w:val="18"/>
          <w:szCs w:val="18"/>
        </w:rPr>
        <w:t>“</w:t>
      </w:r>
      <w:r w:rsidRPr="008633A1">
        <w:rPr>
          <w:sz w:val="18"/>
          <w:szCs w:val="18"/>
        </w:rPr>
        <w:t xml:space="preserve"> na 151. - 200.</w:t>
      </w:r>
    </w:p>
    <w:p w14:paraId="12275D28" w14:textId="7C27D819" w:rsidR="00EB4E43" w:rsidRPr="00E86BC5" w:rsidRDefault="00EB4E43" w:rsidP="00EB4E43">
      <w:pPr>
        <w:spacing w:after="165" w:line="240" w:lineRule="auto"/>
        <w:jc w:val="both"/>
        <w:rPr>
          <w:rFonts w:eastAsia="Arial" w:cs="Arial"/>
          <w:sz w:val="18"/>
          <w:szCs w:val="18"/>
        </w:rPr>
      </w:pPr>
      <w:r w:rsidRPr="00E86BC5">
        <w:rPr>
          <w:rFonts w:eastAsia="Arial" w:cs="Arial"/>
          <w:b/>
          <w:sz w:val="18"/>
          <w:szCs w:val="18"/>
        </w:rPr>
        <w:t>Univerzitní centrum energeticky efektivních budov</w:t>
      </w:r>
      <w:r w:rsidRPr="00E86BC5">
        <w:rPr>
          <w:rFonts w:eastAsia="Arial" w:cs="Arial"/>
          <w:sz w:val="18"/>
          <w:szCs w:val="18"/>
        </w:rPr>
        <w:t xml:space="preserve"> je samostatným ústavem ČVUT v Praze. Sdružuje fakulty stavební, strojní, elektrotechnickou a biomedicínského inženýrství s cílem přirozeně sladit výzkumné aktivity zabývající se trvale udržitelnou výstavbou a úspěšně uvádět jejich výsledky do praxe. UCEEB je odezvou na jednu z nejvýznamnějších současných priorit Evropské unie zaměřenou na optimalizaci energetických úspor v budovách a vzniklo díky podpoře Operačního programu Výzkum a vývoj pro inovace MŠMT, který je financován EU a státním rozpočtem České republiky. Víc na </w:t>
      </w:r>
      <w:hyperlink r:id="rId11" w:history="1">
        <w:r w:rsidR="00E86BC5" w:rsidRPr="006636E3">
          <w:rPr>
            <w:rStyle w:val="Hypertextovodkaz"/>
            <w:rFonts w:eastAsia="Arial" w:cs="Arial"/>
            <w:sz w:val="18"/>
            <w:szCs w:val="18"/>
          </w:rPr>
          <w:t>www.uceeb.cz</w:t>
        </w:r>
      </w:hyperlink>
      <w:r w:rsidR="00E86BC5">
        <w:rPr>
          <w:rFonts w:eastAsia="Arial" w:cs="Arial"/>
          <w:sz w:val="18"/>
          <w:szCs w:val="18"/>
        </w:rPr>
        <w:t xml:space="preserve">. </w:t>
      </w:r>
      <w:bookmarkStart w:id="0" w:name="_GoBack"/>
      <w:bookmarkEnd w:id="0"/>
    </w:p>
    <w:p w14:paraId="1CB71C27" w14:textId="77777777" w:rsidR="001D1DFB" w:rsidRPr="00E526F3" w:rsidRDefault="001D1DFB" w:rsidP="00EB4E43">
      <w:pPr>
        <w:pStyle w:val="Nadpiszpravy"/>
        <w:rPr>
          <w:sz w:val="16"/>
          <w:szCs w:val="16"/>
        </w:rPr>
      </w:pPr>
    </w:p>
    <w:sectPr w:rsidR="001D1DFB" w:rsidRPr="00E526F3" w:rsidSect="000421D9">
      <w:headerReference w:type="default" r:id="rId12"/>
      <w:headerReference w:type="first" r:id="rId13"/>
      <w:footerReference w:type="first" r:id="rId14"/>
      <w:pgSz w:w="11906" w:h="16838"/>
      <w:pgMar w:top="3232" w:right="851" w:bottom="1871" w:left="2948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DA248" w14:textId="77777777" w:rsidR="00D51E93" w:rsidRDefault="00D51E93" w:rsidP="003829EA">
      <w:pPr>
        <w:spacing w:line="240" w:lineRule="auto"/>
      </w:pPr>
      <w:r>
        <w:separator/>
      </w:r>
    </w:p>
  </w:endnote>
  <w:endnote w:type="continuationSeparator" w:id="0">
    <w:p w14:paraId="51902E0F" w14:textId="77777777" w:rsidR="00D51E93" w:rsidRDefault="00D51E93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702040502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ourier New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echnika Light">
    <w:altName w:val="Courier New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07999" w14:textId="77777777" w:rsidR="006B599E" w:rsidRPr="00BE3DFC" w:rsidRDefault="006B599E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14:paraId="5B55C02B" w14:textId="77777777" w:rsidR="006B599E" w:rsidRPr="00BE3DFC" w:rsidRDefault="00AE0870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782DBC6B" wp14:editId="0DA2463E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6D6542" wp14:editId="70D2594F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2="http://schemas.microsoft.com/office/drawing/2015/10/21/chartex" xmlns:cx1="http://schemas.microsoft.com/office/drawing/2015/9/8/chartex"/>
                        </a:ext>
                        <a:ext uri="{C572A759-6A51-4108-AA02-DFA0A04FC94B}">
                          <ma14:wrappingTextBoxFlag xmlns:cx="http://schemas.microsoft.com/office/drawing/2014/chartex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6990DDA1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EB429" w14:textId="77777777" w:rsidR="00D51E93" w:rsidRDefault="00D51E93" w:rsidP="003829EA">
      <w:pPr>
        <w:spacing w:line="240" w:lineRule="auto"/>
      </w:pPr>
      <w:r>
        <w:separator/>
      </w:r>
    </w:p>
  </w:footnote>
  <w:footnote w:type="continuationSeparator" w:id="0">
    <w:p w14:paraId="21D16F74" w14:textId="77777777" w:rsidR="00D51E93" w:rsidRDefault="00D51E93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C6C5A" w14:textId="1242A476" w:rsidR="006B599E" w:rsidRPr="004764D3" w:rsidRDefault="006B599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E86BC5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E86BC5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3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14:paraId="5D356607" w14:textId="77777777" w:rsidR="006B599E" w:rsidRPr="004764D3" w:rsidRDefault="006B599E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14:paraId="6497F043" w14:textId="77777777" w:rsidR="000421D9" w:rsidRPr="00E40EFE" w:rsidRDefault="000421D9" w:rsidP="00E724F6">
    <w:pPr>
      <w:framePr w:w="4536" w:h="4196" w:hRule="exact" w:wrap="notBeside" w:vAnchor="page" w:hAnchor="page" w:x="1" w:y="1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</w:p>
  <w:p w14:paraId="33E92364" w14:textId="77777777" w:rsidR="006B599E" w:rsidRDefault="00AE0870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1BF9F3DA" wp14:editId="5F0CA75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37BC651" wp14:editId="3E73B684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2="http://schemas.microsoft.com/office/drawing/2015/10/21/chartex" xmlns:cx1="http://schemas.microsoft.com/office/drawing/2015/9/8/chartex"/>
                        </a:ext>
                        <a:ext uri="{C572A759-6A51-4108-AA02-DFA0A04FC94B}">
                          <ma14:wrappingTextBoxFlag xmlns:cx="http://schemas.microsoft.com/office/drawing/2014/chartex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59D1346A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352CC" w14:textId="6D3BCA3D" w:rsidR="006B599E" w:rsidRPr="001E3831" w:rsidRDefault="006B599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E86BC5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E86BC5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3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14:paraId="58EC29A9" w14:textId="77777777" w:rsidR="003429B8" w:rsidRPr="001442C5" w:rsidRDefault="003429B8" w:rsidP="000421D9">
    <w:pPr>
      <w:pStyle w:val="Zahlav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AB"/>
    <w:rsid w:val="000403B8"/>
    <w:rsid w:val="000421D9"/>
    <w:rsid w:val="00051265"/>
    <w:rsid w:val="000633F2"/>
    <w:rsid w:val="00071B94"/>
    <w:rsid w:val="0007585A"/>
    <w:rsid w:val="00080867"/>
    <w:rsid w:val="00085D7D"/>
    <w:rsid w:val="000A4D7F"/>
    <w:rsid w:val="000C4CE0"/>
    <w:rsid w:val="000F3D93"/>
    <w:rsid w:val="001442C5"/>
    <w:rsid w:val="001574C3"/>
    <w:rsid w:val="001766B4"/>
    <w:rsid w:val="00190FEE"/>
    <w:rsid w:val="001A0D50"/>
    <w:rsid w:val="001C7E6B"/>
    <w:rsid w:val="001D1DFB"/>
    <w:rsid w:val="001E3831"/>
    <w:rsid w:val="002553A2"/>
    <w:rsid w:val="00297CB8"/>
    <w:rsid w:val="002A4B9F"/>
    <w:rsid w:val="00340EAE"/>
    <w:rsid w:val="003423D3"/>
    <w:rsid w:val="003429B8"/>
    <w:rsid w:val="003559A8"/>
    <w:rsid w:val="00362CEF"/>
    <w:rsid w:val="003651C0"/>
    <w:rsid w:val="003739AB"/>
    <w:rsid w:val="003829EA"/>
    <w:rsid w:val="00387CAD"/>
    <w:rsid w:val="003A768B"/>
    <w:rsid w:val="003F087D"/>
    <w:rsid w:val="00400F34"/>
    <w:rsid w:val="00406215"/>
    <w:rsid w:val="00420F6D"/>
    <w:rsid w:val="00427F23"/>
    <w:rsid w:val="004345FB"/>
    <w:rsid w:val="004529D4"/>
    <w:rsid w:val="004764D3"/>
    <w:rsid w:val="004C34B5"/>
    <w:rsid w:val="004C7754"/>
    <w:rsid w:val="004D3510"/>
    <w:rsid w:val="004E4774"/>
    <w:rsid w:val="004F4B01"/>
    <w:rsid w:val="00521253"/>
    <w:rsid w:val="00523661"/>
    <w:rsid w:val="00550DAF"/>
    <w:rsid w:val="00566042"/>
    <w:rsid w:val="00572746"/>
    <w:rsid w:val="00574099"/>
    <w:rsid w:val="005E6AAA"/>
    <w:rsid w:val="005E759D"/>
    <w:rsid w:val="00627FC5"/>
    <w:rsid w:val="006A3A6D"/>
    <w:rsid w:val="006B599E"/>
    <w:rsid w:val="007334A1"/>
    <w:rsid w:val="00780551"/>
    <w:rsid w:val="00790AFA"/>
    <w:rsid w:val="007A2C0C"/>
    <w:rsid w:val="007C054C"/>
    <w:rsid w:val="007D413C"/>
    <w:rsid w:val="007D57DB"/>
    <w:rsid w:val="007D5B59"/>
    <w:rsid w:val="007F667F"/>
    <w:rsid w:val="00885FBD"/>
    <w:rsid w:val="008B6A4F"/>
    <w:rsid w:val="008C1940"/>
    <w:rsid w:val="008D4B2A"/>
    <w:rsid w:val="00925272"/>
    <w:rsid w:val="009326BA"/>
    <w:rsid w:val="00941856"/>
    <w:rsid w:val="00944576"/>
    <w:rsid w:val="009566D3"/>
    <w:rsid w:val="009576B6"/>
    <w:rsid w:val="00997E73"/>
    <w:rsid w:val="009A04F0"/>
    <w:rsid w:val="009F6BE8"/>
    <w:rsid w:val="00A00436"/>
    <w:rsid w:val="00A059A7"/>
    <w:rsid w:val="00A1314E"/>
    <w:rsid w:val="00A410A3"/>
    <w:rsid w:val="00A5019A"/>
    <w:rsid w:val="00A75551"/>
    <w:rsid w:val="00A8087B"/>
    <w:rsid w:val="00AE0870"/>
    <w:rsid w:val="00AE5149"/>
    <w:rsid w:val="00AE63BD"/>
    <w:rsid w:val="00B06018"/>
    <w:rsid w:val="00B14E2A"/>
    <w:rsid w:val="00B1631D"/>
    <w:rsid w:val="00B91F47"/>
    <w:rsid w:val="00B93A70"/>
    <w:rsid w:val="00BE3A4A"/>
    <w:rsid w:val="00BE3DFC"/>
    <w:rsid w:val="00C344BA"/>
    <w:rsid w:val="00C54FE8"/>
    <w:rsid w:val="00C61188"/>
    <w:rsid w:val="00C70381"/>
    <w:rsid w:val="00CD3F2A"/>
    <w:rsid w:val="00CD4DFA"/>
    <w:rsid w:val="00CE57BC"/>
    <w:rsid w:val="00CE6DA7"/>
    <w:rsid w:val="00CE7628"/>
    <w:rsid w:val="00D33E16"/>
    <w:rsid w:val="00D51E93"/>
    <w:rsid w:val="00D7678E"/>
    <w:rsid w:val="00D81B9E"/>
    <w:rsid w:val="00DA704A"/>
    <w:rsid w:val="00DC662C"/>
    <w:rsid w:val="00E128EA"/>
    <w:rsid w:val="00E31A05"/>
    <w:rsid w:val="00E526F3"/>
    <w:rsid w:val="00E724F6"/>
    <w:rsid w:val="00E7485F"/>
    <w:rsid w:val="00E83E4F"/>
    <w:rsid w:val="00E86BC5"/>
    <w:rsid w:val="00EB4E43"/>
    <w:rsid w:val="00EB66DF"/>
    <w:rsid w:val="00EC18F3"/>
    <w:rsid w:val="00F11829"/>
    <w:rsid w:val="00F154F8"/>
    <w:rsid w:val="00F23D38"/>
    <w:rsid w:val="00F51611"/>
    <w:rsid w:val="00F74F42"/>
    <w:rsid w:val="00F933AC"/>
    <w:rsid w:val="00FC2511"/>
    <w:rsid w:val="00FD2BBF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8DC256D"/>
  <w15:docId w15:val="{0E4F2CD4-D289-405C-A4F3-B02A9261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uiPriority w:val="99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paragraph" w:customStyle="1" w:styleId="Standard">
    <w:name w:val="Standard"/>
    <w:rsid w:val="003739AB"/>
    <w:pPr>
      <w:widowControl w:val="0"/>
      <w:suppressAutoHyphens/>
      <w:autoSpaceDN w:val="0"/>
      <w:spacing w:line="320" w:lineRule="exact"/>
      <w:textAlignment w:val="baseline"/>
    </w:pPr>
    <w:rPr>
      <w:rFonts w:ascii="Technika" w:eastAsia="Technika" w:hAnsi="Technika" w:cs="Technika"/>
      <w:kern w:val="3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445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4576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4576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45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4576"/>
    <w:rPr>
      <w:rFonts w:ascii="Technika" w:hAnsi="Technika" w:cs="Mangal"/>
      <w:b/>
      <w:bCs/>
      <w:sz w:val="20"/>
      <w:szCs w:val="18"/>
    </w:rPr>
  </w:style>
  <w:style w:type="paragraph" w:customStyle="1" w:styleId="Zapati">
    <w:name w:val="Zapati"/>
    <w:basedOn w:val="Normln"/>
    <w:link w:val="ZapatiChar"/>
    <w:uiPriority w:val="99"/>
    <w:qFormat/>
    <w:rsid w:val="00944576"/>
    <w:pPr>
      <w:spacing w:line="240" w:lineRule="auto"/>
    </w:pPr>
    <w:rPr>
      <w:rFonts w:cs="Arial"/>
      <w:sz w:val="18"/>
      <w:szCs w:val="18"/>
    </w:rPr>
  </w:style>
  <w:style w:type="character" w:customStyle="1" w:styleId="ZapatiChar">
    <w:name w:val="Zapati Char"/>
    <w:basedOn w:val="Standardnpsmoodstavce"/>
    <w:link w:val="Zapati"/>
    <w:uiPriority w:val="99"/>
    <w:rsid w:val="00944576"/>
    <w:rPr>
      <w:rFonts w:ascii="Technika" w:hAnsi="Technika" w:cs="Arial"/>
      <w:sz w:val="18"/>
      <w:szCs w:val="18"/>
    </w:rPr>
  </w:style>
  <w:style w:type="paragraph" w:styleId="Revize">
    <w:name w:val="Revision"/>
    <w:hidden/>
    <w:uiPriority w:val="99"/>
    <w:semiHidden/>
    <w:rsid w:val="00CE57BC"/>
    <w:rPr>
      <w:rFonts w:ascii="Technika" w:hAnsi="Technika" w:cs="Mang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ceeb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kesova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840A9C-6791-4810-8EE2-B6CB897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4EC39F-5D75-4610-A988-8F09185B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CZ.DOTX</Template>
  <TotalTime>23</TotalTime>
  <Pages>3</Pages>
  <Words>738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Nová šablona na TZ - prosinec 2016.</vt:lpstr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subject/>
  <dc:creator>Kokesova</dc:creator>
  <cp:keywords/>
  <dc:description/>
  <cp:lastModifiedBy>Mgr. Andrea Vondráková</cp:lastModifiedBy>
  <cp:revision>10</cp:revision>
  <cp:lastPrinted>2017-11-27T13:23:00Z</cp:lastPrinted>
  <dcterms:created xsi:type="dcterms:W3CDTF">2019-01-14T12:33:00Z</dcterms:created>
  <dcterms:modified xsi:type="dcterms:W3CDTF">2019-01-21T08:00:00Z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