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2474F" w14:textId="4E979B59" w:rsidR="003739AB" w:rsidRPr="00C61188" w:rsidRDefault="00EB4E43" w:rsidP="003739AB">
      <w:pPr>
        <w:pStyle w:val="Zahlavi"/>
      </w:pPr>
      <w:r>
        <w:t>Univerzitní centrum energeticky efektivních budov</w:t>
      </w:r>
      <w:r w:rsidRPr="00C61188">
        <w:t xml:space="preserve"> </w:t>
      </w:r>
      <w:r w:rsidR="003739AB" w:rsidRPr="00C61188">
        <w:t>| </w:t>
      </w:r>
      <w:r>
        <w:t>marketingové oddělení</w:t>
      </w:r>
    </w:p>
    <w:p w14:paraId="1F0CF173" w14:textId="77777777" w:rsidR="00EB4E43" w:rsidRDefault="00EB4E43" w:rsidP="00EB4E43">
      <w:pPr>
        <w:pStyle w:val="Zahlavi"/>
      </w:pPr>
      <w:r>
        <w:t>Třinecká 1024, 273 43 buštěhrad</w:t>
      </w:r>
    </w:p>
    <w:p w14:paraId="44AC7334" w14:textId="1CD2E78E" w:rsidR="003739AB" w:rsidRPr="005F1CC2" w:rsidRDefault="003739AB" w:rsidP="003739AB">
      <w:pPr>
        <w:pStyle w:val="Zahlavi"/>
        <w:rPr>
          <w:color w:val="FF0000"/>
        </w:rPr>
      </w:pPr>
      <w:r w:rsidRPr="00505524">
        <w:t xml:space="preserve">V Praze </w:t>
      </w:r>
      <w:r w:rsidR="00EB4E43" w:rsidRPr="00505524">
        <w:t>2</w:t>
      </w:r>
      <w:r w:rsidR="005F1CC2" w:rsidRPr="00505524">
        <w:t>0</w:t>
      </w:r>
      <w:r w:rsidR="00B91F47" w:rsidRPr="00505524">
        <w:t>. 1</w:t>
      </w:r>
      <w:r w:rsidR="005F1CC2" w:rsidRPr="00505524">
        <w:t>2. 2018</w:t>
      </w:r>
    </w:p>
    <w:p w14:paraId="49EE6333" w14:textId="77777777" w:rsidR="00CD4DFA" w:rsidRDefault="00CD4DFA" w:rsidP="003739AB">
      <w:pPr>
        <w:pStyle w:val="Zahlavi"/>
      </w:pPr>
    </w:p>
    <w:p w14:paraId="63839454" w14:textId="43D8484C" w:rsidR="00CD4DFA" w:rsidRPr="00C54FE8" w:rsidRDefault="00CD4DFA" w:rsidP="00F51611">
      <w:pPr>
        <w:pStyle w:val="Zahlavi"/>
        <w:spacing w:line="276" w:lineRule="auto"/>
      </w:pPr>
      <w:r>
        <w:t>K</w:t>
      </w:r>
      <w:r w:rsidRPr="00C54FE8">
        <w:t>ontakt pro média</w:t>
      </w:r>
      <w:r w:rsidRPr="00C54FE8">
        <w:t> </w:t>
      </w:r>
      <w:r w:rsidRPr="00C54FE8">
        <w:t>|</w:t>
      </w:r>
      <w:r w:rsidRPr="00C54FE8">
        <w:t> </w:t>
      </w:r>
      <w:r w:rsidRPr="00CD4DFA">
        <w:t xml:space="preserve">Ing. Jana simčinová </w:t>
      </w:r>
    </w:p>
    <w:p w14:paraId="56F546A6" w14:textId="77777777" w:rsidR="00CD4DFA" w:rsidRPr="00CD4DFA" w:rsidRDefault="00CD4DFA" w:rsidP="00F51611">
      <w:pPr>
        <w:spacing w:line="276" w:lineRule="auto"/>
        <w:rPr>
          <w:b/>
          <w:caps/>
          <w:spacing w:val="8"/>
          <w:kern w:val="20"/>
          <w:szCs w:val="20"/>
          <w:lang w:val="en-GB" w:bidi="ar-SA"/>
        </w:rPr>
      </w:pPr>
      <w:r w:rsidRPr="00CD4DFA">
        <w:rPr>
          <w:b/>
          <w:caps/>
          <w:spacing w:val="8"/>
          <w:kern w:val="20"/>
          <w:szCs w:val="20"/>
          <w:lang w:val="en-GB" w:bidi="ar-SA"/>
        </w:rPr>
        <w:t>jana.simcinova@cvut.cz</w:t>
      </w:r>
    </w:p>
    <w:p w14:paraId="29B2C1F0" w14:textId="2F9D61E3" w:rsidR="00CD4DFA" w:rsidRPr="00CD4DFA" w:rsidRDefault="00CD4DFA" w:rsidP="00F51611">
      <w:pPr>
        <w:spacing w:line="276" w:lineRule="auto"/>
        <w:rPr>
          <w:b/>
          <w:caps/>
          <w:spacing w:val="8"/>
          <w:kern w:val="20"/>
          <w:szCs w:val="20"/>
          <w:lang w:val="en-GB" w:bidi="ar-SA"/>
        </w:rPr>
      </w:pPr>
      <w:r w:rsidRPr="00CD4DFA">
        <w:rPr>
          <w:b/>
          <w:caps/>
          <w:spacing w:val="8"/>
          <w:kern w:val="20"/>
          <w:szCs w:val="20"/>
          <w:lang w:val="en-GB" w:bidi="ar-SA"/>
        </w:rPr>
        <w:t>+420 605 924</w:t>
      </w:r>
      <w:r w:rsidRPr="00CD4DFA">
        <w:rPr>
          <w:rFonts w:ascii="Cambria" w:hAnsi="Cambria" w:cs="Cambria"/>
          <w:b/>
          <w:caps/>
          <w:spacing w:val="8"/>
          <w:kern w:val="20"/>
          <w:szCs w:val="20"/>
          <w:lang w:val="en-GB" w:bidi="ar-SA"/>
        </w:rPr>
        <w:t> </w:t>
      </w:r>
      <w:r w:rsidRPr="00CD4DFA">
        <w:rPr>
          <w:b/>
          <w:caps/>
          <w:spacing w:val="8"/>
          <w:kern w:val="20"/>
          <w:szCs w:val="20"/>
          <w:lang w:val="en-GB" w:bidi="ar-SA"/>
        </w:rPr>
        <w:t>801</w:t>
      </w:r>
    </w:p>
    <w:p w14:paraId="59606EB2" w14:textId="77777777" w:rsidR="00CD4DFA" w:rsidRDefault="00CD4DFA" w:rsidP="003739AB">
      <w:pPr>
        <w:pStyle w:val="Zahlavi"/>
      </w:pPr>
    </w:p>
    <w:p w14:paraId="6582DB66" w14:textId="132CDF63" w:rsidR="00EB4E43" w:rsidRDefault="005F1CC2" w:rsidP="00EB4E43">
      <w:pPr>
        <w:pStyle w:val="Nadpiszpravy"/>
        <w:jc w:val="both"/>
      </w:pPr>
      <w:r w:rsidRPr="005F1CC2">
        <w:t>Univerzitní centrum energeticky efektivních budov spolupracuje s Univerzitou v Bavorsku</w:t>
      </w:r>
      <w:r w:rsidR="00EB4E43" w:rsidRPr="007B4529">
        <w:t xml:space="preserve"> </w:t>
      </w:r>
    </w:p>
    <w:p w14:paraId="6827B663" w14:textId="77777777" w:rsidR="00EB4E43" w:rsidRDefault="00EB4E43" w:rsidP="00EB4E43">
      <w:pPr>
        <w:pStyle w:val="Nadpiszpravy"/>
      </w:pPr>
    </w:p>
    <w:p w14:paraId="76B11C1D" w14:textId="209D8818" w:rsidR="00EB4E43" w:rsidRDefault="005F1CC2" w:rsidP="00EB4E43">
      <w:pPr>
        <w:jc w:val="both"/>
        <w:rPr>
          <w:b/>
        </w:rPr>
      </w:pPr>
      <w:r w:rsidRPr="005F1CC2">
        <w:rPr>
          <w:b/>
        </w:rPr>
        <w:t xml:space="preserve">Univerzitní centrum zahájilo v letošním roce projekt s </w:t>
      </w:r>
      <w:proofErr w:type="spellStart"/>
      <w:r w:rsidRPr="005F1CC2">
        <w:rPr>
          <w:b/>
        </w:rPr>
        <w:t>Ostbayerische</w:t>
      </w:r>
      <w:proofErr w:type="spellEnd"/>
      <w:r w:rsidRPr="005F1CC2">
        <w:rPr>
          <w:b/>
        </w:rPr>
        <w:t xml:space="preserve"> </w:t>
      </w:r>
      <w:proofErr w:type="spellStart"/>
      <w:r w:rsidRPr="005F1CC2">
        <w:rPr>
          <w:b/>
        </w:rPr>
        <w:t>Technische</w:t>
      </w:r>
      <w:proofErr w:type="spellEnd"/>
      <w:r w:rsidRPr="005F1CC2">
        <w:rPr>
          <w:b/>
        </w:rPr>
        <w:t xml:space="preserve"> </w:t>
      </w:r>
      <w:proofErr w:type="spellStart"/>
      <w:r w:rsidRPr="005F1CC2">
        <w:rPr>
          <w:b/>
        </w:rPr>
        <w:t>Hochschule</w:t>
      </w:r>
      <w:proofErr w:type="spellEnd"/>
      <w:r w:rsidRPr="005F1CC2">
        <w:rPr>
          <w:b/>
        </w:rPr>
        <w:t xml:space="preserve"> </w:t>
      </w:r>
      <w:proofErr w:type="spellStart"/>
      <w:r w:rsidRPr="005F1CC2">
        <w:rPr>
          <w:b/>
        </w:rPr>
        <w:t>Amberg-Weiden</w:t>
      </w:r>
      <w:proofErr w:type="spellEnd"/>
      <w:r w:rsidRPr="005F1CC2">
        <w:rPr>
          <w:b/>
        </w:rPr>
        <w:t>. V</w:t>
      </w:r>
      <w:r>
        <w:rPr>
          <w:b/>
        </w:rPr>
        <w:t xml:space="preserve"> rámci projektu zatím proběhly čtyři</w:t>
      </w:r>
      <w:r w:rsidRPr="005F1CC2">
        <w:rPr>
          <w:b/>
        </w:rPr>
        <w:t xml:space="preserve"> workshopy</w:t>
      </w:r>
      <w:r>
        <w:rPr>
          <w:b/>
        </w:rPr>
        <w:t>, dva na české straně, dva</w:t>
      </w:r>
      <w:r w:rsidRPr="005F1CC2">
        <w:rPr>
          <w:b/>
        </w:rPr>
        <w:t xml:space="preserve"> na německé. Připravuje</w:t>
      </w:r>
      <w:r>
        <w:rPr>
          <w:b/>
        </w:rPr>
        <w:t xml:space="preserve"> se příspěvek na konferenci ORC</w:t>
      </w:r>
      <w:r w:rsidRPr="005F1CC2">
        <w:rPr>
          <w:b/>
        </w:rPr>
        <w:t>2019. Probíhají výpočty a návrh</w:t>
      </w:r>
      <w:r>
        <w:rPr>
          <w:b/>
        </w:rPr>
        <w:t>y</w:t>
      </w:r>
      <w:r w:rsidRPr="005F1CC2">
        <w:rPr>
          <w:b/>
        </w:rPr>
        <w:t xml:space="preserve"> pro stavbu funkčního vzorku </w:t>
      </w:r>
      <w:proofErr w:type="spellStart"/>
      <w:r w:rsidRPr="005F1CC2">
        <w:rPr>
          <w:b/>
        </w:rPr>
        <w:t>turboexpandéru</w:t>
      </w:r>
      <w:proofErr w:type="spellEnd"/>
      <w:r w:rsidRPr="005F1CC2">
        <w:rPr>
          <w:b/>
        </w:rPr>
        <w:t>. Dále probíhají přípravy pro podání společného projektu</w:t>
      </w:r>
      <w:r>
        <w:rPr>
          <w:b/>
        </w:rPr>
        <w:t>, který je c</w:t>
      </w:r>
      <w:r w:rsidRPr="005F1CC2">
        <w:rPr>
          <w:b/>
        </w:rPr>
        <w:t>íl</w:t>
      </w:r>
      <w:r>
        <w:rPr>
          <w:b/>
        </w:rPr>
        <w:t>em</w:t>
      </w:r>
      <w:r w:rsidRPr="005F1CC2">
        <w:rPr>
          <w:b/>
        </w:rPr>
        <w:t xml:space="preserve"> Program</w:t>
      </w:r>
      <w:r>
        <w:rPr>
          <w:b/>
        </w:rPr>
        <w:t>u</w:t>
      </w:r>
      <w:r w:rsidRPr="005F1CC2">
        <w:rPr>
          <w:b/>
        </w:rPr>
        <w:t xml:space="preserve"> na podporu aplikovaného výzkumu, experimentálního vývoje a inovací TAČR Delta2 a d</w:t>
      </w:r>
      <w:r>
        <w:rPr>
          <w:b/>
        </w:rPr>
        <w:t xml:space="preserve">iskuze k bližšímu partnerství ve výzkumu a vývoje, </w:t>
      </w:r>
      <w:r w:rsidRPr="005F1CC2">
        <w:rPr>
          <w:b/>
        </w:rPr>
        <w:t xml:space="preserve">i výuce mezi </w:t>
      </w:r>
      <w:r w:rsidR="00505524">
        <w:rPr>
          <w:b/>
        </w:rPr>
        <w:t>ČVUT</w:t>
      </w:r>
      <w:r>
        <w:rPr>
          <w:b/>
        </w:rPr>
        <w:t xml:space="preserve"> </w:t>
      </w:r>
      <w:r w:rsidRPr="005F1CC2">
        <w:rPr>
          <w:b/>
        </w:rPr>
        <w:t xml:space="preserve">a </w:t>
      </w:r>
      <w:r w:rsidRPr="00505524">
        <w:rPr>
          <w:b/>
        </w:rPr>
        <w:t>OTH.</w:t>
      </w:r>
    </w:p>
    <w:p w14:paraId="3A2238E3" w14:textId="77777777" w:rsidR="005F1CC2" w:rsidRDefault="005F1CC2" w:rsidP="00EB4E43">
      <w:pPr>
        <w:jc w:val="both"/>
      </w:pPr>
    </w:p>
    <w:p w14:paraId="27DDAE9E" w14:textId="77777777" w:rsidR="00505524" w:rsidRPr="00505524" w:rsidRDefault="00505524" w:rsidP="00505524">
      <w:pPr>
        <w:jc w:val="both"/>
      </w:pPr>
      <w:r w:rsidRPr="00505524">
        <w:t xml:space="preserve">Hlavní přínos projektu spočívá v zisku znalostí ohledně možností a očekávatelných parametrů malých expandérů při výrobě pomocí perspektivní technologie - 3D tisku. Výsledky projektu ukáží (primárně) vědecké komunitě klady, zápory a doporučení pro směřování dalšího vývoje při zvažování aplikace </w:t>
      </w:r>
      <w:proofErr w:type="spellStart"/>
      <w:r w:rsidRPr="00505524">
        <w:t>turboexpandérů</w:t>
      </w:r>
      <w:proofErr w:type="spellEnd"/>
      <w:r w:rsidRPr="00505524">
        <w:t xml:space="preserve"> pro zařízení na bázi tepelných oběhů ve velmi nízkých výkonech. Projekt také ukáže, jak pro poměrně tradiční problematiku stavby turbín mohou moderní technologie a postupy nabídnout řadu nových možností s perspektivou zrychlení vývoje, snížení ceny i dosažení rozumné účinnosti.</w:t>
      </w:r>
    </w:p>
    <w:p w14:paraId="562227CB" w14:textId="07DD5F0F" w:rsidR="00EB4E43" w:rsidRPr="00505524" w:rsidRDefault="00505524" w:rsidP="00505524">
      <w:pPr>
        <w:jc w:val="both"/>
      </w:pPr>
      <w:r w:rsidRPr="00505524">
        <w:t>„Očekávaným přínosem projektu je samozřejmě také propojení a prohloubení spoluprác</w:t>
      </w:r>
      <w:r w:rsidR="00C768E0">
        <w:t xml:space="preserve">e mezi zúčastněnými pracovišti. </w:t>
      </w:r>
      <w:r w:rsidRPr="00505524">
        <w:t xml:space="preserve">Bavorský partner má zkušenosti s návrhem </w:t>
      </w:r>
      <w:proofErr w:type="spellStart"/>
      <w:r w:rsidRPr="00505524">
        <w:t>turboexpandérů</w:t>
      </w:r>
      <w:proofErr w:type="spellEnd"/>
      <w:r w:rsidRPr="00505524">
        <w:t xml:space="preserve"> pro ORC s použitím tradičních technologií výroby a český partner má pak na jedné straně zkušenosti s návrhem a problematikou velkých parních turbín, na druhé straně s experimentálními a prototypovými jednotkami nejmenších výkonů </w:t>
      </w:r>
      <w:r w:rsidRPr="00505524">
        <w:lastRenderedPageBreak/>
        <w:t>využívajícími ovšem objemové expandé</w:t>
      </w:r>
      <w:r w:rsidR="00C768E0">
        <w:t>ry,</w:t>
      </w:r>
      <w:r w:rsidRPr="00505524">
        <w:t>“</w:t>
      </w:r>
      <w:r w:rsidR="00C768E0">
        <w:t xml:space="preserve"> </w:t>
      </w:r>
      <w:r w:rsidR="00C768E0" w:rsidRPr="00505524">
        <w:t>řekl Ing. Václav Novotný, hlavní řešitel projektu za českou stranu</w:t>
      </w:r>
      <w:r w:rsidR="00C768E0">
        <w:t>.</w:t>
      </w:r>
      <w:bookmarkStart w:id="0" w:name="_GoBack"/>
      <w:bookmarkEnd w:id="0"/>
    </w:p>
    <w:p w14:paraId="01627D8F" w14:textId="77777777" w:rsidR="005F1CC2" w:rsidRDefault="005F1CC2" w:rsidP="00EB4E43">
      <w:pPr>
        <w:jc w:val="both"/>
      </w:pPr>
    </w:p>
    <w:p w14:paraId="7E5B33A1" w14:textId="3716A845" w:rsidR="00EB4E43" w:rsidRDefault="00EB4E43" w:rsidP="00EB4E43">
      <w:pPr>
        <w:jc w:val="both"/>
      </w:pPr>
    </w:p>
    <w:p w14:paraId="0BD8AB11" w14:textId="77777777" w:rsidR="00EB4E43" w:rsidRDefault="00EB4E43" w:rsidP="00EB4E43">
      <w:pPr>
        <w:spacing w:after="165" w:line="240" w:lineRule="auto"/>
        <w:jc w:val="both"/>
        <w:rPr>
          <w:sz w:val="18"/>
          <w:szCs w:val="18"/>
        </w:rPr>
      </w:pPr>
      <w:r w:rsidRPr="008633A1">
        <w:rPr>
          <w:b/>
          <w:sz w:val="18"/>
          <w:szCs w:val="18"/>
        </w:rPr>
        <w:t>České vysoké učení technické v Praze</w:t>
      </w:r>
      <w:r w:rsidRPr="008633A1">
        <w:rPr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21 000 studentů. Pro akademický rok 2016/17 nabízí ČVUT svým studentům 123 studijních programů a v rámci nich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464 studijn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>ch obor</w:t>
      </w:r>
      <w:r w:rsidRPr="008633A1">
        <w:rPr>
          <w:rFonts w:cs="Technika Light"/>
          <w:sz w:val="18"/>
          <w:szCs w:val="18"/>
        </w:rPr>
        <w:t>ů</w:t>
      </w:r>
      <w:r w:rsidRPr="008633A1">
        <w:rPr>
          <w:sz w:val="18"/>
          <w:szCs w:val="18"/>
        </w:rPr>
        <w:t xml:space="preserve">. </w:t>
      </w:r>
      <w:r w:rsidRPr="008633A1">
        <w:rPr>
          <w:rFonts w:cs="Technika Light"/>
          <w:sz w:val="18"/>
          <w:szCs w:val="18"/>
        </w:rPr>
        <w:t>Č</w:t>
      </w:r>
      <w:r w:rsidRPr="008633A1">
        <w:rPr>
          <w:sz w:val="18"/>
          <w:szCs w:val="18"/>
        </w:rPr>
        <w:t>VUT vychov</w:t>
      </w:r>
      <w:r w:rsidRPr="008633A1">
        <w:rPr>
          <w:rFonts w:cs="Technika Light"/>
          <w:sz w:val="18"/>
          <w:szCs w:val="18"/>
        </w:rPr>
        <w:t>á</w:t>
      </w:r>
      <w:r w:rsidRPr="008633A1">
        <w:rPr>
          <w:sz w:val="18"/>
          <w:szCs w:val="18"/>
        </w:rPr>
        <w:t>v</w:t>
      </w:r>
      <w:r w:rsidRPr="008633A1">
        <w:rPr>
          <w:rFonts w:cs="Technika Light"/>
          <w:sz w:val="18"/>
          <w:szCs w:val="18"/>
        </w:rPr>
        <w:t>á</w:t>
      </w:r>
      <w:r w:rsidRPr="008633A1">
        <w:rPr>
          <w:sz w:val="18"/>
          <w:szCs w:val="18"/>
        </w:rPr>
        <w:t xml:space="preserve"> modern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 odborn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>ky, v</w:t>
      </w:r>
      <w:r w:rsidRPr="008633A1">
        <w:rPr>
          <w:rFonts w:cs="Technika Light"/>
          <w:sz w:val="18"/>
          <w:szCs w:val="18"/>
        </w:rPr>
        <w:t>ě</w:t>
      </w:r>
      <w:r w:rsidRPr="008633A1">
        <w:rPr>
          <w:sz w:val="18"/>
          <w:szCs w:val="18"/>
        </w:rPr>
        <w:t>dce a mana</w:t>
      </w:r>
      <w:r w:rsidRPr="008633A1">
        <w:rPr>
          <w:rFonts w:cs="Technika Light"/>
          <w:sz w:val="18"/>
          <w:szCs w:val="18"/>
        </w:rPr>
        <w:t>ž</w:t>
      </w:r>
      <w:r w:rsidRPr="008633A1">
        <w:rPr>
          <w:sz w:val="18"/>
          <w:szCs w:val="18"/>
        </w:rPr>
        <w:t>ery se znalost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 ciz</w:t>
      </w:r>
      <w:r w:rsidRPr="008633A1">
        <w:rPr>
          <w:rFonts w:cs="Technika Light"/>
          <w:sz w:val="18"/>
          <w:szCs w:val="18"/>
        </w:rPr>
        <w:t>í</w:t>
      </w:r>
      <w:r w:rsidRPr="008633A1">
        <w:rPr>
          <w:sz w:val="18"/>
          <w:szCs w:val="18"/>
        </w:rPr>
        <w:t xml:space="preserve">ch jazyků, kteří jsou dynamičtí, flexibilní a dokáží se rychle přizpůsobovat požadavkům trhu. V roce 2016 se ČVUT umístilo v hodnocení QS </w:t>
      </w:r>
      <w:proofErr w:type="spellStart"/>
      <w:r w:rsidRPr="008633A1">
        <w:rPr>
          <w:sz w:val="18"/>
          <w:szCs w:val="18"/>
        </w:rPr>
        <w:t>World</w:t>
      </w:r>
      <w:proofErr w:type="spellEnd"/>
      <w:r w:rsidRPr="008633A1">
        <w:rPr>
          <w:sz w:val="18"/>
          <w:szCs w:val="18"/>
        </w:rPr>
        <w:t xml:space="preserve"> University </w:t>
      </w:r>
      <w:proofErr w:type="spellStart"/>
      <w:r w:rsidRPr="008633A1">
        <w:rPr>
          <w:sz w:val="18"/>
          <w:szCs w:val="18"/>
        </w:rPr>
        <w:t>Rankings</w:t>
      </w:r>
      <w:proofErr w:type="spellEnd"/>
      <w:r w:rsidRPr="008633A1">
        <w:rPr>
          <w:sz w:val="18"/>
          <w:szCs w:val="18"/>
        </w:rPr>
        <w:t>, které zahrnuje více než 4200 světových univerzit, ve skupině univerzit na 501 – 550. místě.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oblasti </w:t>
      </w:r>
      <w:r w:rsidRPr="008633A1">
        <w:rPr>
          <w:rFonts w:cs="Technika"/>
          <w:sz w:val="18"/>
          <w:szCs w:val="18"/>
        </w:rPr>
        <w:t>„</w:t>
      </w:r>
      <w:r w:rsidRPr="008633A1">
        <w:rPr>
          <w:sz w:val="18"/>
          <w:szCs w:val="18"/>
        </w:rPr>
        <w:t xml:space="preserve">Civil and </w:t>
      </w:r>
      <w:proofErr w:type="spellStart"/>
      <w:r w:rsidRPr="008633A1">
        <w:rPr>
          <w:sz w:val="18"/>
          <w:szCs w:val="18"/>
        </w:rPr>
        <w:t>Structural</w:t>
      </w:r>
      <w:proofErr w:type="spellEnd"/>
      <w:r w:rsidRPr="008633A1">
        <w:rPr>
          <w:sz w:val="18"/>
          <w:szCs w:val="18"/>
        </w:rPr>
        <w:t xml:space="preserve"> </w:t>
      </w:r>
      <w:proofErr w:type="spellStart"/>
      <w:r w:rsidRPr="008633A1">
        <w:rPr>
          <w:sz w:val="18"/>
          <w:szCs w:val="18"/>
        </w:rPr>
        <w:t>Engineering</w:t>
      </w:r>
      <w:proofErr w:type="spellEnd"/>
      <w:r w:rsidRPr="008633A1">
        <w:rPr>
          <w:sz w:val="18"/>
          <w:szCs w:val="18"/>
        </w:rPr>
        <w:t>"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bylo </w:t>
      </w:r>
      <w:r w:rsidRPr="008633A1">
        <w:rPr>
          <w:rFonts w:cs="Technika"/>
          <w:sz w:val="18"/>
          <w:szCs w:val="18"/>
        </w:rPr>
        <w:t>Č</w:t>
      </w:r>
      <w:r w:rsidRPr="008633A1">
        <w:rPr>
          <w:sz w:val="18"/>
          <w:szCs w:val="18"/>
        </w:rPr>
        <w:t xml:space="preserve">VUT hodnoceno na 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100.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sz w:val="18"/>
          <w:szCs w:val="18"/>
        </w:rPr>
        <w:t>,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oblasti</w:t>
      </w:r>
      <w:r w:rsidRPr="008633A1">
        <w:rPr>
          <w:rFonts w:ascii="Cambria" w:hAnsi="Cambria" w:cs="Cambria"/>
          <w:sz w:val="18"/>
          <w:szCs w:val="18"/>
        </w:rPr>
        <w:t>  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Mechanical</w:t>
      </w:r>
      <w:proofErr w:type="spellEnd"/>
      <w:r w:rsidRPr="008633A1">
        <w:rPr>
          <w:sz w:val="18"/>
          <w:szCs w:val="18"/>
        </w:rPr>
        <w:t xml:space="preserve"> </w:t>
      </w:r>
      <w:proofErr w:type="spellStart"/>
      <w:r w:rsidRPr="008633A1">
        <w:rPr>
          <w:sz w:val="18"/>
          <w:szCs w:val="18"/>
        </w:rPr>
        <w:t>Engineering</w:t>
      </w:r>
      <w:proofErr w:type="spellEnd"/>
      <w:r w:rsidRPr="008633A1">
        <w:rPr>
          <w:rFonts w:cs="Technika"/>
          <w:sz w:val="18"/>
          <w:szCs w:val="18"/>
        </w:rPr>
        <w:t>“</w:t>
      </w:r>
      <w:r w:rsidRPr="008633A1">
        <w:rPr>
          <w:sz w:val="18"/>
          <w:szCs w:val="18"/>
        </w:rPr>
        <w:t xml:space="preserve"> na 151.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200.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sz w:val="18"/>
          <w:szCs w:val="18"/>
        </w:rPr>
        <w:t>,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oblasti 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Computer</w:t>
      </w:r>
      <w:proofErr w:type="spellEnd"/>
      <w:r w:rsidRPr="008633A1">
        <w:rPr>
          <w:sz w:val="18"/>
          <w:szCs w:val="18"/>
        </w:rPr>
        <w:t xml:space="preserve"> Science and </w:t>
      </w:r>
      <w:proofErr w:type="spellStart"/>
      <w:r w:rsidRPr="008633A1">
        <w:rPr>
          <w:sz w:val="18"/>
          <w:szCs w:val="18"/>
        </w:rPr>
        <w:t>Information</w:t>
      </w:r>
      <w:proofErr w:type="spellEnd"/>
      <w:r w:rsidRPr="008633A1">
        <w:rPr>
          <w:sz w:val="18"/>
          <w:szCs w:val="18"/>
        </w:rPr>
        <w:t xml:space="preserve"> Systems"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a 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Electrical</w:t>
      </w:r>
      <w:proofErr w:type="spellEnd"/>
      <w:r w:rsidRPr="008633A1">
        <w:rPr>
          <w:sz w:val="18"/>
          <w:szCs w:val="18"/>
        </w:rPr>
        <w:t xml:space="preserve"> </w:t>
      </w:r>
      <w:proofErr w:type="spellStart"/>
      <w:r w:rsidRPr="008633A1">
        <w:rPr>
          <w:sz w:val="18"/>
          <w:szCs w:val="18"/>
        </w:rPr>
        <w:t>Engineering</w:t>
      </w:r>
      <w:proofErr w:type="spellEnd"/>
      <w:r w:rsidRPr="008633A1">
        <w:rPr>
          <w:rFonts w:cs="Technika"/>
          <w:sz w:val="18"/>
          <w:szCs w:val="18"/>
        </w:rPr>
        <w:t>“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na 151. </w:t>
      </w:r>
      <w:r w:rsidRPr="008633A1">
        <w:rPr>
          <w:rFonts w:cs="Technika"/>
          <w:sz w:val="18"/>
          <w:szCs w:val="18"/>
        </w:rPr>
        <w:t>–</w:t>
      </w:r>
      <w:r w:rsidRPr="008633A1">
        <w:rPr>
          <w:sz w:val="18"/>
          <w:szCs w:val="18"/>
        </w:rPr>
        <w:t xml:space="preserve"> 200. místě. V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oblasti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Mathematics</w:t>
      </w:r>
      <w:proofErr w:type="spellEnd"/>
      <w:r w:rsidRPr="008633A1">
        <w:rPr>
          <w:rFonts w:cs="Technika"/>
          <w:sz w:val="18"/>
          <w:szCs w:val="18"/>
        </w:rPr>
        <w:t>“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>na 201. - 250. m</w:t>
      </w:r>
      <w:r w:rsidRPr="008633A1">
        <w:rPr>
          <w:rFonts w:cs="Technika"/>
          <w:sz w:val="18"/>
          <w:szCs w:val="18"/>
        </w:rPr>
        <w:t>í</w:t>
      </w:r>
      <w:r w:rsidRPr="008633A1">
        <w:rPr>
          <w:sz w:val="18"/>
          <w:szCs w:val="18"/>
        </w:rPr>
        <w:t>st</w:t>
      </w:r>
      <w:r w:rsidRPr="008633A1">
        <w:rPr>
          <w:rFonts w:cs="Technika"/>
          <w:sz w:val="18"/>
          <w:szCs w:val="18"/>
        </w:rPr>
        <w:t>ě</w:t>
      </w:r>
      <w:r w:rsidRPr="008633A1">
        <w:rPr>
          <w:rFonts w:ascii="Cambria" w:hAnsi="Cambria" w:cs="Cambria"/>
          <w:sz w:val="18"/>
          <w:szCs w:val="18"/>
        </w:rPr>
        <w:t> </w:t>
      </w:r>
      <w:r w:rsidRPr="008633A1">
        <w:rPr>
          <w:sz w:val="18"/>
          <w:szCs w:val="18"/>
        </w:rPr>
        <w:t xml:space="preserve">a </w:t>
      </w:r>
      <w:r w:rsidRPr="008633A1">
        <w:rPr>
          <w:rFonts w:cs="Technika"/>
          <w:sz w:val="18"/>
          <w:szCs w:val="18"/>
        </w:rPr>
        <w:t>„</w:t>
      </w:r>
      <w:proofErr w:type="spellStart"/>
      <w:r w:rsidRPr="008633A1">
        <w:rPr>
          <w:sz w:val="18"/>
          <w:szCs w:val="18"/>
        </w:rPr>
        <w:t>Physics</w:t>
      </w:r>
      <w:proofErr w:type="spellEnd"/>
      <w:r w:rsidRPr="008633A1">
        <w:rPr>
          <w:sz w:val="18"/>
          <w:szCs w:val="18"/>
        </w:rPr>
        <w:t xml:space="preserve"> and Astronomy</w:t>
      </w:r>
      <w:r w:rsidRPr="008633A1">
        <w:rPr>
          <w:rFonts w:cs="Technika"/>
          <w:sz w:val="18"/>
          <w:szCs w:val="18"/>
        </w:rPr>
        <w:t>“</w:t>
      </w:r>
      <w:r w:rsidRPr="008633A1">
        <w:rPr>
          <w:sz w:val="18"/>
          <w:szCs w:val="18"/>
        </w:rPr>
        <w:t xml:space="preserve"> na 151. - 200.</w:t>
      </w:r>
    </w:p>
    <w:p w14:paraId="12275D28" w14:textId="7C27D819" w:rsidR="00EB4E43" w:rsidRPr="00E86BC5" w:rsidRDefault="00EB4E43" w:rsidP="00EB4E43">
      <w:pPr>
        <w:spacing w:after="165" w:line="240" w:lineRule="auto"/>
        <w:jc w:val="both"/>
        <w:rPr>
          <w:rFonts w:eastAsia="Arial" w:cs="Arial"/>
          <w:sz w:val="18"/>
          <w:szCs w:val="18"/>
        </w:rPr>
      </w:pPr>
      <w:r w:rsidRPr="00E86BC5">
        <w:rPr>
          <w:rFonts w:eastAsia="Arial" w:cs="Arial"/>
          <w:b/>
          <w:sz w:val="18"/>
          <w:szCs w:val="18"/>
        </w:rPr>
        <w:t>Univerzitní centrum energeticky efektivních budov</w:t>
      </w:r>
      <w:r w:rsidRPr="00E86BC5">
        <w:rPr>
          <w:rFonts w:eastAsia="Arial" w:cs="Arial"/>
          <w:sz w:val="18"/>
          <w:szCs w:val="18"/>
        </w:rPr>
        <w:t xml:space="preserve"> je samostatným ústavem ČVUT v Praze. Sdružuje fakulty stavební, strojní, elektrotechnickou a biomedicínského inženýrství s cílem přirozeně sladit výzkumné aktivity zabývající se trvale udržitelnou výstavbou a úspěšně uvádět jejich výsledky do praxe. UCEEB je odezvou na jednu z nejvýznamnějších současných priorit Evropské unie zaměřenou na optimalizaci energetických úspor v budovách a vzniklo díky podpoře Operačního programu Výzkum a vývoj pro inovace MŠMT, který je financován EU a státním rozpočtem České republiky. Víc na </w:t>
      </w:r>
      <w:hyperlink r:id="rId11" w:history="1">
        <w:r w:rsidR="00E86BC5" w:rsidRPr="006636E3">
          <w:rPr>
            <w:rStyle w:val="Hypertextovodkaz"/>
            <w:rFonts w:eastAsia="Arial" w:cs="Arial"/>
            <w:sz w:val="18"/>
            <w:szCs w:val="18"/>
          </w:rPr>
          <w:t>www.uceeb.cz</w:t>
        </w:r>
      </w:hyperlink>
      <w:r w:rsidR="00E86BC5">
        <w:rPr>
          <w:rFonts w:eastAsia="Arial" w:cs="Arial"/>
          <w:sz w:val="18"/>
          <w:szCs w:val="18"/>
        </w:rPr>
        <w:t xml:space="preserve">. </w:t>
      </w:r>
    </w:p>
    <w:p w14:paraId="1CB71C27" w14:textId="77777777" w:rsidR="001D1DFB" w:rsidRPr="00E526F3" w:rsidRDefault="001D1DFB" w:rsidP="00EB4E43">
      <w:pPr>
        <w:pStyle w:val="Nadpiszpravy"/>
        <w:rPr>
          <w:sz w:val="16"/>
          <w:szCs w:val="16"/>
        </w:rPr>
      </w:pPr>
    </w:p>
    <w:sectPr w:rsidR="001D1DFB" w:rsidRPr="00E526F3" w:rsidSect="000421D9">
      <w:headerReference w:type="default" r:id="rId12"/>
      <w:headerReference w:type="first" r:id="rId13"/>
      <w:footerReference w:type="first" r:id="rId14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5A5B" w14:textId="77777777" w:rsidR="00D542D4" w:rsidRDefault="00D542D4" w:rsidP="003829EA">
      <w:pPr>
        <w:spacing w:line="240" w:lineRule="auto"/>
      </w:pPr>
      <w:r>
        <w:separator/>
      </w:r>
    </w:p>
  </w:endnote>
  <w:endnote w:type="continuationSeparator" w:id="0">
    <w:p w14:paraId="50ABA72C" w14:textId="77777777" w:rsidR="00D542D4" w:rsidRDefault="00D542D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charset w:val="EE"/>
    <w:family w:val="auto"/>
    <w:pitch w:val="variable"/>
    <w:sig w:usb0="00000001" w:usb1="00000001" w:usb2="00000000" w:usb3="00000000" w:csb0="0000009B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chnika Light"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0DDA1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E6F6" w14:textId="77777777" w:rsidR="00D542D4" w:rsidRDefault="00D542D4" w:rsidP="003829EA">
      <w:pPr>
        <w:spacing w:line="240" w:lineRule="auto"/>
      </w:pPr>
      <w:r>
        <w:separator/>
      </w:r>
    </w:p>
  </w:footnote>
  <w:footnote w:type="continuationSeparator" w:id="0">
    <w:p w14:paraId="689D642B" w14:textId="77777777" w:rsidR="00D542D4" w:rsidRDefault="00D542D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6C5A" w14:textId="056E6978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C768E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C768E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1346A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52CC" w14:textId="4E1529D2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C768E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C768E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AB"/>
    <w:rsid w:val="000403B8"/>
    <w:rsid w:val="000421D9"/>
    <w:rsid w:val="00051265"/>
    <w:rsid w:val="000633F2"/>
    <w:rsid w:val="00071B94"/>
    <w:rsid w:val="0007585A"/>
    <w:rsid w:val="00080867"/>
    <w:rsid w:val="00085D7D"/>
    <w:rsid w:val="000A4D7F"/>
    <w:rsid w:val="000C4CE0"/>
    <w:rsid w:val="000F3D93"/>
    <w:rsid w:val="001442C5"/>
    <w:rsid w:val="001574C3"/>
    <w:rsid w:val="001766B4"/>
    <w:rsid w:val="00190FEE"/>
    <w:rsid w:val="001A0D50"/>
    <w:rsid w:val="001A7D74"/>
    <w:rsid w:val="001C7E6B"/>
    <w:rsid w:val="001D1DFB"/>
    <w:rsid w:val="001E3831"/>
    <w:rsid w:val="002553A2"/>
    <w:rsid w:val="00297CB8"/>
    <w:rsid w:val="002A4B9F"/>
    <w:rsid w:val="00340EAE"/>
    <w:rsid w:val="003423D3"/>
    <w:rsid w:val="003429B8"/>
    <w:rsid w:val="003559A8"/>
    <w:rsid w:val="00362CEF"/>
    <w:rsid w:val="003651C0"/>
    <w:rsid w:val="003739AB"/>
    <w:rsid w:val="003829EA"/>
    <w:rsid w:val="00387CAD"/>
    <w:rsid w:val="003A768B"/>
    <w:rsid w:val="003F087D"/>
    <w:rsid w:val="00400F34"/>
    <w:rsid w:val="00406215"/>
    <w:rsid w:val="004074CC"/>
    <w:rsid w:val="00420F6D"/>
    <w:rsid w:val="00427F23"/>
    <w:rsid w:val="004345FB"/>
    <w:rsid w:val="004529D4"/>
    <w:rsid w:val="00453DA5"/>
    <w:rsid w:val="004764D3"/>
    <w:rsid w:val="004C34B5"/>
    <w:rsid w:val="004C7754"/>
    <w:rsid w:val="004D3510"/>
    <w:rsid w:val="004E4774"/>
    <w:rsid w:val="004F4B01"/>
    <w:rsid w:val="00505524"/>
    <w:rsid w:val="00521253"/>
    <w:rsid w:val="00523661"/>
    <w:rsid w:val="00550DAF"/>
    <w:rsid w:val="00566042"/>
    <w:rsid w:val="00572746"/>
    <w:rsid w:val="00574099"/>
    <w:rsid w:val="005E6AAA"/>
    <w:rsid w:val="005E759D"/>
    <w:rsid w:val="005F1CC2"/>
    <w:rsid w:val="00627FC5"/>
    <w:rsid w:val="006A3A6D"/>
    <w:rsid w:val="006B599E"/>
    <w:rsid w:val="006E6759"/>
    <w:rsid w:val="007334A1"/>
    <w:rsid w:val="00780551"/>
    <w:rsid w:val="00790AFA"/>
    <w:rsid w:val="007A2C0C"/>
    <w:rsid w:val="007C054C"/>
    <w:rsid w:val="007D413C"/>
    <w:rsid w:val="007D57DB"/>
    <w:rsid w:val="007D5B59"/>
    <w:rsid w:val="007F667F"/>
    <w:rsid w:val="00885FBD"/>
    <w:rsid w:val="008B6A4F"/>
    <w:rsid w:val="008C1940"/>
    <w:rsid w:val="008D4B2A"/>
    <w:rsid w:val="00925272"/>
    <w:rsid w:val="009326BA"/>
    <w:rsid w:val="00941856"/>
    <w:rsid w:val="00944576"/>
    <w:rsid w:val="009566D3"/>
    <w:rsid w:val="009576B6"/>
    <w:rsid w:val="00997E73"/>
    <w:rsid w:val="009A04F0"/>
    <w:rsid w:val="009F6BE8"/>
    <w:rsid w:val="00A00436"/>
    <w:rsid w:val="00A059A7"/>
    <w:rsid w:val="00A1314E"/>
    <w:rsid w:val="00A410A3"/>
    <w:rsid w:val="00A5019A"/>
    <w:rsid w:val="00A75551"/>
    <w:rsid w:val="00A8087B"/>
    <w:rsid w:val="00AE0870"/>
    <w:rsid w:val="00AE5149"/>
    <w:rsid w:val="00AE63BD"/>
    <w:rsid w:val="00B06018"/>
    <w:rsid w:val="00B14E2A"/>
    <w:rsid w:val="00B1631D"/>
    <w:rsid w:val="00B91F47"/>
    <w:rsid w:val="00B93A70"/>
    <w:rsid w:val="00BE3A4A"/>
    <w:rsid w:val="00BE3DFC"/>
    <w:rsid w:val="00C344BA"/>
    <w:rsid w:val="00C54FE8"/>
    <w:rsid w:val="00C61188"/>
    <w:rsid w:val="00C70381"/>
    <w:rsid w:val="00C768E0"/>
    <w:rsid w:val="00CD3F2A"/>
    <w:rsid w:val="00CD4DFA"/>
    <w:rsid w:val="00CE57BC"/>
    <w:rsid w:val="00CE6DA7"/>
    <w:rsid w:val="00CE7628"/>
    <w:rsid w:val="00D33E16"/>
    <w:rsid w:val="00D51E93"/>
    <w:rsid w:val="00D542D4"/>
    <w:rsid w:val="00D7678E"/>
    <w:rsid w:val="00D81B9E"/>
    <w:rsid w:val="00DA704A"/>
    <w:rsid w:val="00DC662C"/>
    <w:rsid w:val="00E128EA"/>
    <w:rsid w:val="00E31A05"/>
    <w:rsid w:val="00E526F3"/>
    <w:rsid w:val="00E724F6"/>
    <w:rsid w:val="00E7485F"/>
    <w:rsid w:val="00E83E4F"/>
    <w:rsid w:val="00E86BC5"/>
    <w:rsid w:val="00EB4E43"/>
    <w:rsid w:val="00EB66DF"/>
    <w:rsid w:val="00EC18F3"/>
    <w:rsid w:val="00F11829"/>
    <w:rsid w:val="00F154F8"/>
    <w:rsid w:val="00F23D38"/>
    <w:rsid w:val="00F51611"/>
    <w:rsid w:val="00F74F42"/>
    <w:rsid w:val="00F933AC"/>
    <w:rsid w:val="00FC2511"/>
    <w:rsid w:val="00FD2BBF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256D"/>
  <w15:docId w15:val="{0E4F2CD4-D289-405C-A4F3-B02A9261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uiPriority w:val="99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uiPriority w:val="99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eeb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esova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99357-DB8E-4DF0-83D6-F3A18C3F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1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simcijan</cp:lastModifiedBy>
  <cp:revision>3</cp:revision>
  <cp:lastPrinted>2019-01-30T13:30:00Z</cp:lastPrinted>
  <dcterms:created xsi:type="dcterms:W3CDTF">2019-01-31T14:26:00Z</dcterms:created>
  <dcterms:modified xsi:type="dcterms:W3CDTF">2019-01-31T14:27:00Z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